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3CFB9">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编办2018年决算公开</w:t>
      </w:r>
    </w:p>
    <w:bookmarkEnd w:id="0"/>
    <w:p w14:paraId="55F51204">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黄石港区编办2018年决算公开</w:t>
      </w:r>
    </w:p>
    <w:p w14:paraId="665CBCFE">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72BC0540">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14:paraId="7ED0A13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3DAB1475">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0939CBD0">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 部门2018年部门决算表</w:t>
      </w:r>
    </w:p>
    <w:p w14:paraId="47E7EBCB">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58535E76">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5443FB10">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1D1D4C5F">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06C8C8F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596F0B8C">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518476E2">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七、一般公共预算财政拨款“三公”经费支出决算表（表7）</w:t>
      </w:r>
    </w:p>
    <w:p w14:paraId="5CF87B38">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八、政府性基金预算财政拨款收入支出决算表（8）</w:t>
      </w:r>
    </w:p>
    <w:p w14:paraId="7A6D130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第三部分：部门2018年部门决算情况说明</w:t>
      </w:r>
    </w:p>
    <w:p w14:paraId="723575F2">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4AC41483">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3F9B2E8A">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14CF6F93">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26C89BAE">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559AAC4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bCs/>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7665F9F1">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 </w:t>
      </w:r>
    </w:p>
    <w:p w14:paraId="512AB9CA">
      <w:pPr>
        <w:pStyle w:val="8"/>
        <w:widowControl/>
        <w:spacing w:before="76" w:beforeAutospacing="0" w:after="76" w:afterAutospacing="0" w:line="450" w:lineRule="atLeast"/>
        <w:ind w:firstLine="420"/>
        <w:jc w:val="center"/>
        <w:rPr>
          <w:rStyle w:val="11"/>
          <w:rFonts w:hint="eastAsia" w:ascii="微软雅黑" w:hAnsi="微软雅黑" w:eastAsia="微软雅黑" w:cs="微软雅黑"/>
          <w:color w:val="333333"/>
          <w:shd w:val="clear" w:color="auto" w:fill="FFFFFF"/>
        </w:rPr>
      </w:pPr>
    </w:p>
    <w:p w14:paraId="31C312A1">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2018年部门决算</w:t>
      </w:r>
    </w:p>
    <w:p w14:paraId="2ACE65CC">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 部门概况</w:t>
      </w:r>
    </w:p>
    <w:p w14:paraId="173D4692">
      <w:pPr>
        <w:spacing w:line="560" w:lineRule="exact"/>
        <w:ind w:firstLine="48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宋体" w:hAnsi="宋体" w:cs="宋体"/>
          <w:color w:val="333333"/>
          <w:kern w:val="0"/>
          <w:sz w:val="24"/>
        </w:rPr>
        <w:t>　</w:t>
      </w:r>
      <w:r>
        <w:rPr>
          <w:rFonts w:hint="eastAsia" w:ascii="宋体" w:hAnsi="宋体" w:cs="宋体"/>
          <w:color w:val="333333"/>
          <w:kern w:val="0"/>
          <w:sz w:val="28"/>
          <w:szCs w:val="28"/>
          <w:lang w:eastAsia="zh-CN"/>
        </w:rPr>
        <w:t>（一）</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主要职责</w:t>
      </w:r>
    </w:p>
    <w:p w14:paraId="032845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加强行政管理体制改革总体研究的职责</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加强机构编制工作监督检查和事业单位登记管理监督检查的职责</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加强全区机构编制总量管理、实名制管理、年度计划管理和机构编制政务公开，党政群机关及事业单位网上名称管理，推进“政务”、“公益”专用中文域名注册使用的职责。</w:t>
      </w:r>
    </w:p>
    <w:p w14:paraId="67D26C9B">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cstheme="minorEastAsia"/>
          <w:b w:val="0"/>
          <w:i w:val="0"/>
          <w:caps w:val="0"/>
          <w:color w:val="000000"/>
          <w:spacing w:val="0"/>
          <w:sz w:val="28"/>
          <w:szCs w:val="28"/>
          <w:shd w:val="clear" w:color="auto" w:fill="auto"/>
          <w:lang w:val="en-US" w:eastAsia="zh-CN"/>
        </w:rPr>
        <w:t>（二）</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单位基本信息(机构设置等)</w:t>
      </w:r>
    </w:p>
    <w:p w14:paraId="31ACDC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贯彻执行党和国家关于行政管理体制和机构改革以及机构编制管理的方针、政策和法规；研究拟订全区机构编制管理规定并组织实施</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指导协调区党委、人大、政府、政协机关和各民主党派、人民团体机关（以下简称党政群机关）以及事业单位机构改革和机构编制管理工作</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研究拟订区行政管理体制改革、党政群机关机构改革总体方案并监督实施；审核报批区级机关各部门机构改革方案及行政事业机构设置调整事项；审核报批行政事业单位机构编制调整事项；承担区级党政群机关各部门的主要职责、内设机构和人员编制规定审核报批和日常机构编制管理工作，研究提出全区行政编制（包括政法专项编制）的分配调整意见</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负责协调区级党政群机关各部门之间的职责分工</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研究拟订事业单位分类改革、机构改革的总体方案，分类制定人员编制和领导职数标准；审核报批区委、区政府直属事业单位、区直部门所属事业单位分类改革、机构改革方案及机构编制调整事项；指导并协调区事业单位分类改革、机构改革和机构编制管理工作；负责对拟参照公务员法管理事业单位的职能提出审核意见</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指导全区党政群机关和事业单位机构编制总量管理、实名制管理、年度计划管理和机构编制政务公开工作。研究制定全区年度启用编制计划和用于公开招考公务员、事业单位工作人员编制启用计划。研究机关和事业单位新进人员年度计划和启用编制等相关事宜</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监督管理全区党政群机关和事业单位网上名称规范使用</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监督检查全区党政群机关和事业单位贯彻执行机构编制工作方针、政策和法律法规及机构改革实施情况，协同有关部门查处机构编制违法违纪行为</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组织实施事业单位法人登记管理，负责区级登记管理范围内事业单位登记管理和法人年检的日常工作，指导协调和检查监督全区事业单位登记管理工作</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指导监督全区机构编制的业务工作</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完成上级交办的其他事项。</w:t>
      </w:r>
    </w:p>
    <w:p w14:paraId="1BEC1513">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cstheme="minorEastAsia"/>
          <w:b w:val="0"/>
          <w:i w:val="0"/>
          <w:caps w:val="0"/>
          <w:color w:val="000000"/>
          <w:spacing w:val="0"/>
          <w:sz w:val="28"/>
          <w:szCs w:val="28"/>
          <w:shd w:val="clear" w:color="auto" w:fill="auto"/>
          <w:lang w:val="en-US" w:eastAsia="zh-CN"/>
        </w:rPr>
        <w:t>（三）</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人员情况</w:t>
      </w:r>
    </w:p>
    <w:p w14:paraId="57CA4CDD">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区机构编制委员会办公室编制人数共计2人，其中行政编1人，事业编1人；年末实有人数合计2人，其中行政编1人，事业编1人。</w:t>
      </w:r>
    </w:p>
    <w:p w14:paraId="48C65AA8">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p>
    <w:p w14:paraId="4B716818">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p>
    <w:p w14:paraId="584A3301">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p>
    <w:p w14:paraId="67A8CC6D">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第二部分 2018年部门决算表</w:t>
      </w:r>
    </w:p>
    <w:p w14:paraId="07AB4092">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860155" cy="4676775"/>
            <wp:effectExtent l="0" t="0" r="17145" b="9525"/>
            <wp:docPr id="1" name="图片 1" descr="C:\Users\Administrator\AppData\Roaming\Tencent\Users\297317818\QQ\WinTemp\RichOle\MVXPS3}Y%(C{N]84HY6)7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97317818\QQ\WinTemp\RichOle\MVXPS3}Y%(C{N]84HY6)7GN.png"/>
                    <pic:cNvPicPr>
                      <a:picLocks noChangeAspect="1" noChangeArrowheads="1"/>
                    </pic:cNvPicPr>
                  </pic:nvPicPr>
                  <pic:blipFill>
                    <a:blip r:embed="rId4" cstate="print"/>
                    <a:srcRect/>
                    <a:stretch>
                      <a:fillRect/>
                    </a:stretch>
                  </pic:blipFill>
                  <pic:spPr>
                    <a:xfrm>
                      <a:off x="0" y="0"/>
                      <a:ext cx="8860155" cy="4676775"/>
                    </a:xfrm>
                    <a:prstGeom prst="rect">
                      <a:avLst/>
                    </a:prstGeom>
                    <a:noFill/>
                    <a:ln w="9525">
                      <a:noFill/>
                      <a:miter lim="800000"/>
                      <a:headEnd/>
                      <a:tailEnd/>
                    </a:ln>
                  </pic:spPr>
                </pic:pic>
              </a:graphicData>
            </a:graphic>
          </wp:inline>
        </w:drawing>
      </w:r>
    </w:p>
    <w:p w14:paraId="1902DD01">
      <w:pPr>
        <w:widowControl/>
        <w:jc w:val="left"/>
        <w:rPr>
          <w:rFonts w:ascii="宋体" w:hAnsi="宋体" w:eastAsia="宋体" w:cs="宋体"/>
          <w:kern w:val="0"/>
          <w:sz w:val="24"/>
        </w:rPr>
      </w:pPr>
    </w:p>
    <w:p w14:paraId="5AFFBD22">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666480" cy="2103120"/>
            <wp:effectExtent l="0" t="0" r="1270" b="11430"/>
            <wp:docPr id="3" name="图片 3" descr="C:\Users\Administrator\AppData\Roaming\Tencent\Users\297317818\QQ\WinTemp\RichOle\3H]XFA5GN_2I`[P(AXX{TQ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97317818\QQ\WinTemp\RichOle\3H]XFA5GN_2I`[P(AXX{TQE.png"/>
                    <pic:cNvPicPr>
                      <a:picLocks noChangeAspect="1" noChangeArrowheads="1"/>
                    </pic:cNvPicPr>
                  </pic:nvPicPr>
                  <pic:blipFill>
                    <a:blip r:embed="rId5" cstate="print"/>
                    <a:srcRect r="1409" b="1779"/>
                    <a:stretch>
                      <a:fillRect/>
                    </a:stretch>
                  </pic:blipFill>
                  <pic:spPr>
                    <a:xfrm>
                      <a:off x="0" y="0"/>
                      <a:ext cx="8666480" cy="2103120"/>
                    </a:xfrm>
                    <a:prstGeom prst="rect">
                      <a:avLst/>
                    </a:prstGeom>
                    <a:noFill/>
                    <a:ln w="9525">
                      <a:noFill/>
                      <a:miter lim="800000"/>
                      <a:headEnd/>
                      <a:tailEnd/>
                    </a:ln>
                  </pic:spPr>
                </pic:pic>
              </a:graphicData>
            </a:graphic>
          </wp:inline>
        </w:drawing>
      </w:r>
    </w:p>
    <w:p w14:paraId="2020489E">
      <w:pPr>
        <w:widowControl/>
        <w:jc w:val="left"/>
        <w:rPr>
          <w:rFonts w:ascii="宋体" w:hAnsi="宋体" w:eastAsia="宋体" w:cs="宋体"/>
          <w:kern w:val="0"/>
          <w:sz w:val="24"/>
        </w:rPr>
      </w:pPr>
    </w:p>
    <w:p w14:paraId="35131B9A">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637270" cy="2545080"/>
            <wp:effectExtent l="0" t="0" r="11430" b="7620"/>
            <wp:docPr id="5" name="图片 5" descr="C:\Users\Administrator\AppData\Roaming\Tencent\Users\297317818\QQ\WinTemp\RichOle\X00S%~K(H`ZAADFHQZM(29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297317818\QQ\WinTemp\RichOle\X00S%~K(H`ZAADFHQZM(29W.png"/>
                    <pic:cNvPicPr>
                      <a:picLocks noChangeAspect="1" noChangeArrowheads="1"/>
                    </pic:cNvPicPr>
                  </pic:nvPicPr>
                  <pic:blipFill>
                    <a:blip r:embed="rId6" cstate="print"/>
                    <a:srcRect r="1221" b="1475"/>
                    <a:stretch>
                      <a:fillRect/>
                    </a:stretch>
                  </pic:blipFill>
                  <pic:spPr>
                    <a:xfrm>
                      <a:off x="0" y="0"/>
                      <a:ext cx="8637270" cy="2545080"/>
                    </a:xfrm>
                    <a:prstGeom prst="rect">
                      <a:avLst/>
                    </a:prstGeom>
                    <a:noFill/>
                    <a:ln w="9525">
                      <a:noFill/>
                      <a:miter lim="800000"/>
                      <a:headEnd/>
                      <a:tailEnd/>
                    </a:ln>
                  </pic:spPr>
                </pic:pic>
              </a:graphicData>
            </a:graphic>
          </wp:inline>
        </w:drawing>
      </w:r>
    </w:p>
    <w:p w14:paraId="7A824DDB">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723630" cy="5095240"/>
            <wp:effectExtent l="0" t="0" r="1270" b="10160"/>
            <wp:docPr id="7" name="图片 7" descr="C:\Users\Administrator\AppData\Roaming\Tencent\Users\297317818\QQ\WinTemp\RichOle\VW3WU85COGTSLT~PEHD0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97317818\QQ\WinTemp\RichOle\VW3WU85COGTSLT~PEHD0A(U.png"/>
                    <pic:cNvPicPr>
                      <a:picLocks noChangeAspect="1" noChangeArrowheads="1"/>
                    </pic:cNvPicPr>
                  </pic:nvPicPr>
                  <pic:blipFill>
                    <a:blip r:embed="rId7" cstate="print"/>
                    <a:srcRect t="1163" r="864"/>
                    <a:stretch>
                      <a:fillRect/>
                    </a:stretch>
                  </pic:blipFill>
                  <pic:spPr>
                    <a:xfrm>
                      <a:off x="0" y="0"/>
                      <a:ext cx="8723630" cy="5095240"/>
                    </a:xfrm>
                    <a:prstGeom prst="rect">
                      <a:avLst/>
                    </a:prstGeom>
                    <a:noFill/>
                    <a:ln w="9525">
                      <a:noFill/>
                      <a:miter lim="800000"/>
                      <a:headEnd/>
                      <a:tailEnd/>
                    </a:ln>
                  </pic:spPr>
                </pic:pic>
              </a:graphicData>
            </a:graphic>
          </wp:inline>
        </w:drawing>
      </w:r>
    </w:p>
    <w:p w14:paraId="76F3A172">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644890" cy="4321810"/>
            <wp:effectExtent l="0" t="0" r="3810" b="2540"/>
            <wp:docPr id="9" name="图片 9" descr="C:\Users\Administrator\AppData\Roaming\Tencent\Users\297317818\QQ\WinTemp\RichOle\0C0W_]AIQ`K`8KEH4L[SG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297317818\QQ\WinTemp\RichOle\0C0W_]AIQ`K`8KEH4L[SGOB.png"/>
                    <pic:cNvPicPr>
                      <a:picLocks noChangeAspect="1" noChangeArrowheads="1"/>
                    </pic:cNvPicPr>
                  </pic:nvPicPr>
                  <pic:blipFill>
                    <a:blip r:embed="rId8" cstate="print"/>
                    <a:srcRect/>
                    <a:stretch>
                      <a:fillRect/>
                    </a:stretch>
                  </pic:blipFill>
                  <pic:spPr>
                    <a:xfrm>
                      <a:off x="0" y="0"/>
                      <a:ext cx="8644890" cy="4321810"/>
                    </a:xfrm>
                    <a:prstGeom prst="rect">
                      <a:avLst/>
                    </a:prstGeom>
                    <a:noFill/>
                    <a:ln w="9525">
                      <a:noFill/>
                      <a:miter lim="800000"/>
                      <a:headEnd/>
                      <a:tailEnd/>
                    </a:ln>
                  </pic:spPr>
                </pic:pic>
              </a:graphicData>
            </a:graphic>
          </wp:inline>
        </w:drawing>
      </w:r>
    </w:p>
    <w:p w14:paraId="65EC4435">
      <w:pPr>
        <w:pStyle w:val="8"/>
        <w:widowControl/>
        <w:spacing w:before="76" w:beforeAutospacing="0" w:after="76" w:afterAutospacing="0" w:line="450" w:lineRule="atLeast"/>
        <w:rPr>
          <w:rFonts w:hint="eastAsia"/>
          <w:color w:val="333333"/>
        </w:rPr>
      </w:pPr>
    </w:p>
    <w:p w14:paraId="78B7C0F2">
      <w:pPr>
        <w:widowControl/>
        <w:jc w:val="left"/>
        <w:rPr>
          <w:rFonts w:ascii="宋体" w:hAnsi="宋体" w:eastAsia="宋体" w:cs="宋体"/>
          <w:kern w:val="0"/>
          <w:sz w:val="24"/>
        </w:rPr>
      </w:pPr>
    </w:p>
    <w:p w14:paraId="1ED278B8">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674735" cy="5248910"/>
            <wp:effectExtent l="0" t="0" r="12065" b="8890"/>
            <wp:docPr id="13" name="图片 13" descr="C:\Users\Administrator\AppData\Roaming\Tencent\Users\297317818\QQ\WinTemp\RichOle\(OM(A[6(SMWH9{DZ$2NJ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Tencent\Users\297317818\QQ\WinTemp\RichOle\(OM(A[6(SMWH9{DZ$2NJI~6.png"/>
                    <pic:cNvPicPr>
                      <a:picLocks noChangeAspect="1" noChangeArrowheads="1"/>
                    </pic:cNvPicPr>
                  </pic:nvPicPr>
                  <pic:blipFill>
                    <a:blip r:embed="rId9" cstate="print"/>
                    <a:srcRect t="2824"/>
                    <a:stretch>
                      <a:fillRect/>
                    </a:stretch>
                  </pic:blipFill>
                  <pic:spPr>
                    <a:xfrm>
                      <a:off x="0" y="0"/>
                      <a:ext cx="8674735" cy="5248910"/>
                    </a:xfrm>
                    <a:prstGeom prst="rect">
                      <a:avLst/>
                    </a:prstGeom>
                    <a:noFill/>
                    <a:ln w="9525">
                      <a:noFill/>
                      <a:miter lim="800000"/>
                      <a:headEnd/>
                      <a:tailEnd/>
                    </a:ln>
                  </pic:spPr>
                </pic:pic>
              </a:graphicData>
            </a:graphic>
          </wp:inline>
        </w:drawing>
      </w:r>
    </w:p>
    <w:p w14:paraId="5D7C3F85">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684260" cy="2308860"/>
            <wp:effectExtent l="0" t="0" r="2540" b="15240"/>
            <wp:docPr id="15" name="图片 15" descr="C:\Users\Administrator\AppData\Roaming\Tencent\Users\297317818\QQ\WinTemp\RichOle\}@Q(AXE7S2IUVCEE7H784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Roaming\Tencent\Users\297317818\QQ\WinTemp\RichOle\}@Q(AXE7S2IUVCEE7H784S2.png"/>
                    <pic:cNvPicPr>
                      <a:picLocks noChangeAspect="1" noChangeArrowheads="1"/>
                    </pic:cNvPicPr>
                  </pic:nvPicPr>
                  <pic:blipFill>
                    <a:blip r:embed="rId10" cstate="print"/>
                    <a:srcRect/>
                    <a:stretch>
                      <a:fillRect/>
                    </a:stretch>
                  </pic:blipFill>
                  <pic:spPr>
                    <a:xfrm>
                      <a:off x="0" y="0"/>
                      <a:ext cx="8684260" cy="2308860"/>
                    </a:xfrm>
                    <a:prstGeom prst="rect">
                      <a:avLst/>
                    </a:prstGeom>
                    <a:noFill/>
                    <a:ln w="9525">
                      <a:noFill/>
                      <a:miter lim="800000"/>
                      <a:headEnd/>
                      <a:tailEnd/>
                    </a:ln>
                  </pic:spPr>
                </pic:pic>
              </a:graphicData>
            </a:graphic>
          </wp:inline>
        </w:drawing>
      </w:r>
    </w:p>
    <w:p w14:paraId="6F33CC65">
      <w:pPr>
        <w:widowControl/>
        <w:jc w:val="left"/>
        <w:rPr>
          <w:rFonts w:ascii="宋体" w:hAnsi="宋体" w:eastAsia="宋体" w:cs="宋体"/>
          <w:kern w:val="0"/>
          <w:sz w:val="24"/>
        </w:rPr>
      </w:pPr>
    </w:p>
    <w:p w14:paraId="28CED7F8">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697595" cy="2532380"/>
            <wp:effectExtent l="0" t="0" r="8255" b="1270"/>
            <wp:docPr id="17" name="图片 17" descr="C:\Users\Administrator\AppData\Roaming\Tencent\Users\297317818\QQ\WinTemp\RichOle\NO_P}JL6$GN(U`G}FMNQA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Roaming\Tencent\Users\297317818\QQ\WinTemp\RichOle\NO_P}JL6$GN(U`G}FMNQAGC.png"/>
                    <pic:cNvPicPr>
                      <a:picLocks noChangeAspect="1" noChangeArrowheads="1"/>
                    </pic:cNvPicPr>
                  </pic:nvPicPr>
                  <pic:blipFill>
                    <a:blip r:embed="rId11" cstate="print"/>
                    <a:srcRect/>
                    <a:stretch>
                      <a:fillRect/>
                    </a:stretch>
                  </pic:blipFill>
                  <pic:spPr>
                    <a:xfrm>
                      <a:off x="0" y="0"/>
                      <a:ext cx="8697595" cy="2532380"/>
                    </a:xfrm>
                    <a:prstGeom prst="rect">
                      <a:avLst/>
                    </a:prstGeom>
                    <a:noFill/>
                    <a:ln w="9525">
                      <a:noFill/>
                      <a:miter lim="800000"/>
                      <a:headEnd/>
                      <a:tailEnd/>
                    </a:ln>
                  </pic:spPr>
                </pic:pic>
              </a:graphicData>
            </a:graphic>
          </wp:inline>
        </w:drawing>
      </w:r>
    </w:p>
    <w:p w14:paraId="009720A4">
      <w:pPr>
        <w:pStyle w:val="8"/>
        <w:widowControl/>
        <w:spacing w:before="76" w:beforeAutospacing="0" w:after="76" w:afterAutospacing="0" w:line="450" w:lineRule="atLeast"/>
        <w:rPr>
          <w:color w:val="333333"/>
        </w:rPr>
        <w:sectPr>
          <w:pgSz w:w="16838" w:h="11906" w:orient="landscape"/>
          <w:pgMar w:top="1800" w:right="1440" w:bottom="1800" w:left="1440" w:header="851" w:footer="992" w:gutter="0"/>
          <w:cols w:space="425" w:num="1"/>
          <w:docGrid w:type="lines" w:linePitch="312" w:charSpace="0"/>
        </w:sectPr>
      </w:pPr>
    </w:p>
    <w:p w14:paraId="37323868">
      <w:pPr>
        <w:pStyle w:val="8"/>
        <w:widowControl/>
        <w:spacing w:before="76" w:beforeAutospacing="0" w:after="76" w:afterAutospacing="0" w:line="450" w:lineRule="atLeast"/>
        <w:jc w:val="both"/>
        <w:rPr>
          <w:color w:val="333333"/>
        </w:rPr>
      </w:pPr>
    </w:p>
    <w:p w14:paraId="3F6CB8CC">
      <w:pPr>
        <w:pStyle w:val="8"/>
        <w:widowControl/>
        <w:numPr>
          <w:ilvl w:val="0"/>
          <w:numId w:val="0"/>
        </w:numPr>
        <w:spacing w:before="76" w:beforeAutospacing="0" w:after="76" w:afterAutospacing="0" w:line="450" w:lineRule="atLeast"/>
        <w:ind w:firstLine="240" w:firstLineChars="1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Style w:val="11"/>
          <w:rFonts w:hint="eastAsia" w:ascii="微软雅黑" w:hAnsi="微软雅黑" w:eastAsia="微软雅黑" w:cs="微软雅黑"/>
          <w:color w:val="333333"/>
          <w:shd w:val="clear" w:color="auto" w:fill="FFFFFF"/>
          <w:lang w:eastAsia="zh-CN"/>
        </w:rPr>
        <w:t>第三部分</w:t>
      </w:r>
      <w:r>
        <w:rPr>
          <w:rStyle w:val="11"/>
          <w:rFonts w:hint="eastAsia" w:ascii="微软雅黑" w:hAnsi="微软雅黑" w:eastAsia="微软雅黑" w:cs="微软雅黑"/>
          <w:color w:val="333333"/>
          <w:shd w:val="clear" w:color="auto" w:fill="FFFFFF"/>
        </w:rPr>
        <w:t>2018年部门决算情况说明</w:t>
      </w:r>
    </w:p>
    <w:p w14:paraId="0FCB008C">
      <w:pPr>
        <w:widowControl/>
        <w:numPr>
          <w:ilvl w:val="0"/>
          <w:numId w:val="1"/>
        </w:numPr>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预算执行情况分析</w:t>
      </w:r>
    </w:p>
    <w:p w14:paraId="0747645B">
      <w:pPr>
        <w:widowControl/>
        <w:spacing w:line="500" w:lineRule="exact"/>
        <w:ind w:firstLine="568" w:firstLineChars="200"/>
        <w:rPr>
          <w:rFonts w:hint="eastAsia" w:ascii="宋体" w:hAnsi="宋体" w:cs="宋体"/>
          <w:sz w:val="28"/>
          <w:szCs w:val="28"/>
          <w:lang w:val="en-US" w:eastAsia="zh-CN"/>
        </w:rPr>
      </w:pPr>
      <w:r>
        <w:rPr>
          <w:rFonts w:hint="eastAsia" w:asciiTheme="minorEastAsia" w:hAnsiTheme="minorEastAsia" w:eastAsiaTheme="minorEastAsia" w:cstheme="minorEastAsia"/>
          <w:color w:val="000000"/>
          <w:spacing w:val="2"/>
          <w:sz w:val="28"/>
          <w:szCs w:val="28"/>
        </w:rPr>
        <w:t>2018年财政收入预算执行数485952.94元，其中人员经费398956.34元，公用经费86996.6元, 2018年财政支出预算执行数485952.94元，其中人员经费398956.34元，公用经费86996.6元</w:t>
      </w:r>
      <w:r>
        <w:rPr>
          <w:rFonts w:hint="eastAsia" w:asciiTheme="minorEastAsia" w:hAnsiTheme="minorEastAsia" w:cstheme="minorEastAsia"/>
          <w:color w:val="000000"/>
          <w:spacing w:val="2"/>
          <w:sz w:val="28"/>
          <w:szCs w:val="28"/>
          <w:lang w:eastAsia="zh-CN"/>
        </w:rPr>
        <w:t>；</w:t>
      </w:r>
      <w:r>
        <w:rPr>
          <w:rFonts w:hint="eastAsia" w:asciiTheme="minorEastAsia" w:hAnsiTheme="minorEastAsia" w:eastAsiaTheme="minorEastAsia" w:cstheme="minorEastAsia"/>
          <w:color w:val="000000"/>
          <w:spacing w:val="2"/>
          <w:sz w:val="28"/>
          <w:szCs w:val="28"/>
        </w:rPr>
        <w:t>2017年财政收入预算执行数230808.42元，其中人员经费155755元，公用经费75053.42元, 2017年财政支出预算执行数230808.42元，其中人员经费155755元，公用经费75053.42元</w:t>
      </w:r>
      <w:r>
        <w:rPr>
          <w:rFonts w:hint="eastAsia" w:asciiTheme="minorEastAsia" w:hAnsiTheme="minorEastAsia" w:cstheme="minorEastAsia"/>
          <w:color w:val="000000"/>
          <w:spacing w:val="2"/>
          <w:sz w:val="28"/>
          <w:szCs w:val="28"/>
          <w:lang w:eastAsia="zh-CN"/>
        </w:rPr>
        <w:t>；</w:t>
      </w:r>
      <w:r>
        <w:rPr>
          <w:rFonts w:hint="eastAsia" w:asciiTheme="minorEastAsia" w:hAnsiTheme="minorEastAsia" w:eastAsiaTheme="minorEastAsia" w:cstheme="minorEastAsia"/>
          <w:color w:val="000000"/>
          <w:spacing w:val="2"/>
          <w:sz w:val="28"/>
          <w:szCs w:val="28"/>
        </w:rPr>
        <w:t>2018年收入预算执行数比上年增加255144.52元，2018年支出预算执行数比上年增加255144.52元。</w:t>
      </w:r>
    </w:p>
    <w:p w14:paraId="066E78DE">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1、收入支出与预算对比分析</w:t>
      </w:r>
    </w:p>
    <w:p w14:paraId="71A5DB9D">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2018年全年总收入488278.3元,其中</w:t>
      </w:r>
      <w:r>
        <w:rPr>
          <w:rFonts w:hint="eastAsia" w:asciiTheme="minorEastAsia" w:hAnsiTheme="minorEastAsia" w:cstheme="minorEastAsia"/>
          <w:color w:val="000000"/>
          <w:spacing w:val="2"/>
          <w:sz w:val="28"/>
          <w:szCs w:val="28"/>
          <w:lang w:val="en-US" w:eastAsia="zh-CN"/>
        </w:rPr>
        <w:t>财政拨款</w:t>
      </w:r>
      <w:r>
        <w:rPr>
          <w:rFonts w:hint="eastAsia" w:asciiTheme="minorEastAsia" w:hAnsiTheme="minorEastAsia" w:eastAsiaTheme="minorEastAsia" w:cstheme="minorEastAsia"/>
          <w:color w:val="000000"/>
          <w:spacing w:val="2"/>
          <w:sz w:val="28"/>
          <w:szCs w:val="28"/>
          <w:lang w:val="en-US" w:eastAsia="zh-CN"/>
        </w:rPr>
        <w:t>决算收入485952.94元,其它收入2325.36元, 2018年全年决算总支出487717.4元,其中</w:t>
      </w:r>
      <w:r>
        <w:rPr>
          <w:rFonts w:hint="eastAsia" w:asciiTheme="minorEastAsia" w:hAnsiTheme="minorEastAsia" w:cstheme="minorEastAsia"/>
          <w:color w:val="000000"/>
          <w:spacing w:val="2"/>
          <w:sz w:val="28"/>
          <w:szCs w:val="28"/>
          <w:lang w:val="en-US" w:eastAsia="zh-CN"/>
        </w:rPr>
        <w:t>财政拨款</w:t>
      </w:r>
      <w:r>
        <w:rPr>
          <w:rFonts w:hint="eastAsia" w:asciiTheme="minorEastAsia" w:hAnsiTheme="minorEastAsia" w:eastAsiaTheme="minorEastAsia" w:cstheme="minorEastAsia"/>
          <w:color w:val="000000"/>
          <w:spacing w:val="2"/>
          <w:sz w:val="28"/>
          <w:szCs w:val="28"/>
          <w:lang w:val="en-US" w:eastAsia="zh-CN"/>
        </w:rPr>
        <w:t>决算支出485952.94元,其它资金支出1764.46元,2018年财政预算数259027元，财拔决算比预算多226925.94元,幅度为88%,原因为业务增加。</w:t>
      </w:r>
    </w:p>
    <w:p w14:paraId="007D722F">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2、收入支出结构分析</w:t>
      </w:r>
    </w:p>
    <w:p w14:paraId="3A547A69">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2018年全年总收入488278.3元,其中</w:t>
      </w:r>
      <w:r>
        <w:rPr>
          <w:rFonts w:hint="eastAsia" w:asciiTheme="minorEastAsia" w:hAnsiTheme="minorEastAsia" w:cstheme="minorEastAsia"/>
          <w:color w:val="000000"/>
          <w:spacing w:val="2"/>
          <w:sz w:val="28"/>
          <w:szCs w:val="28"/>
          <w:lang w:val="en-US" w:eastAsia="zh-CN"/>
        </w:rPr>
        <w:t>财政拨款</w:t>
      </w:r>
      <w:r>
        <w:rPr>
          <w:rFonts w:hint="eastAsia" w:asciiTheme="minorEastAsia" w:hAnsiTheme="minorEastAsia" w:eastAsiaTheme="minorEastAsia" w:cstheme="minorEastAsia"/>
          <w:color w:val="000000"/>
          <w:spacing w:val="2"/>
          <w:sz w:val="28"/>
          <w:szCs w:val="28"/>
          <w:lang w:val="en-US" w:eastAsia="zh-CN"/>
        </w:rPr>
        <w:t>决算收入485952.94元,其它收入2325.36元。2018年全年决算总支出487717.4元,其中</w:t>
      </w:r>
      <w:r>
        <w:rPr>
          <w:rFonts w:hint="eastAsia" w:asciiTheme="minorEastAsia" w:hAnsiTheme="minorEastAsia" w:cstheme="minorEastAsia"/>
          <w:color w:val="000000"/>
          <w:spacing w:val="2"/>
          <w:sz w:val="28"/>
          <w:szCs w:val="28"/>
          <w:lang w:val="en-US" w:eastAsia="zh-CN"/>
        </w:rPr>
        <w:t>财政拨款</w:t>
      </w:r>
      <w:r>
        <w:rPr>
          <w:rFonts w:hint="eastAsia" w:asciiTheme="minorEastAsia" w:hAnsiTheme="minorEastAsia" w:eastAsiaTheme="minorEastAsia" w:cstheme="minorEastAsia"/>
          <w:color w:val="000000"/>
          <w:spacing w:val="2"/>
          <w:sz w:val="28"/>
          <w:szCs w:val="28"/>
          <w:lang w:val="en-US" w:eastAsia="zh-CN"/>
        </w:rPr>
        <w:t xml:space="preserve">决算支出485952.94元,其它资金支出1764.46元，支出按以下分类说明： </w:t>
      </w:r>
    </w:p>
    <w:p w14:paraId="5D3F4E8F">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①支出功能分类：决算总支出487717.4元;一般公共服务支出487717.4元。</w:t>
      </w:r>
    </w:p>
    <w:p w14:paraId="7287AC59">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 xml:space="preserve">②支出性质分类决算总支出487717.4元，其中人员经费398996.5元，公用经费88720.9元; </w:t>
      </w:r>
    </w:p>
    <w:p w14:paraId="455B6DC7">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③支出经济分类：决算总支出487717.4元，其中工资福利支出 398996.5元，商品服务支出81149.9元，对个人和家庭的补助支出 0元，其它资本性支出7571元。</w:t>
      </w:r>
    </w:p>
    <w:p w14:paraId="7BEB2F32">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3、支出按经济分类科目分析</w:t>
      </w:r>
    </w:p>
    <w:p w14:paraId="39B01469">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2018年全年总支出决算总支出487717.4元，其中工资福利支出 398996.5元，商品服务支出81149.9元，对个人和家庭的补助支出 0元，其它资本性支出7571元。</w:t>
      </w:r>
    </w:p>
    <w:p w14:paraId="5654DA64">
      <w:pPr>
        <w:widowControl/>
        <w:spacing w:line="500" w:lineRule="exact"/>
        <w:ind w:firstLine="570" w:firstLineChars="200"/>
        <w:rPr>
          <w:rFonts w:hint="eastAsia" w:asciiTheme="minorEastAsia" w:hAnsiTheme="minorEastAsia" w:eastAsiaTheme="minorEastAsia" w:cstheme="minorEastAsia"/>
          <w:b/>
          <w:bCs/>
          <w:color w:val="000000"/>
          <w:spacing w:val="2"/>
          <w:sz w:val="28"/>
          <w:szCs w:val="28"/>
          <w:lang w:val="en-US" w:eastAsia="zh-CN"/>
        </w:rPr>
      </w:pPr>
      <w:r>
        <w:rPr>
          <w:rFonts w:hint="eastAsia" w:asciiTheme="minorEastAsia" w:hAnsiTheme="minorEastAsia" w:cstheme="minorEastAsia"/>
          <w:b/>
          <w:bCs/>
          <w:color w:val="000000"/>
          <w:spacing w:val="2"/>
          <w:sz w:val="28"/>
          <w:szCs w:val="28"/>
          <w:lang w:val="en-US" w:eastAsia="zh-CN"/>
        </w:rPr>
        <w:t>（二）</w:t>
      </w:r>
      <w:r>
        <w:rPr>
          <w:rFonts w:hint="eastAsia" w:asciiTheme="minorEastAsia" w:hAnsiTheme="minorEastAsia" w:eastAsiaTheme="minorEastAsia" w:cstheme="minorEastAsia"/>
          <w:b/>
          <w:bCs/>
          <w:color w:val="000000"/>
          <w:spacing w:val="2"/>
          <w:sz w:val="28"/>
          <w:szCs w:val="28"/>
          <w:lang w:val="en-US" w:eastAsia="zh-CN"/>
        </w:rPr>
        <w:t>“三公”经费支出情况</w:t>
      </w:r>
    </w:p>
    <w:p w14:paraId="3A9E284B">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2018年“三公”经费决算总支出0元，其中：公务车运行维护费0元，年初预算数0元，决算数比预算数减少0元，减少幅度为0%；公务接待费0元，年初预算数0元，决算数比预算数增加0元，增长幅度为0%；因公出国（境）费0元，预算数0元，决算数比预算数增加0元，增长幅度为0%；</w:t>
      </w:r>
    </w:p>
    <w:p w14:paraId="060585A0">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2017年“三公”经费决算总支出0元，其中：公务车运行维护费0元，年初预算数0元，决算数比预算数减少0元，减少幅度为0%；公务接待费0元，年初预算数0元，决算数比预算数增加0元，增长幅度为0%；因公出国（境）费0元，预算数0元，决算数比预算数增加0元，增长幅度为0%；</w:t>
      </w:r>
    </w:p>
    <w:p w14:paraId="7D4043EB">
      <w:pPr>
        <w:widowControl/>
        <w:numPr>
          <w:ilvl w:val="0"/>
          <w:numId w:val="0"/>
        </w:numPr>
        <w:shd w:val="clear" w:color="auto" w:fill="FFFFFF"/>
        <w:ind w:firstLine="281" w:firstLineChars="1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（三）关于机关运行经费支出说明</w:t>
      </w:r>
    </w:p>
    <w:p w14:paraId="648115CB">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2018年机关运行经费支出86996.6元, 2016年机关运行经费支出105912.51元,同比上年增加-18915.91元，同比上年增加-17.86%，编制委员会缩减开支。</w:t>
      </w:r>
    </w:p>
    <w:p w14:paraId="604E730A">
      <w:pPr>
        <w:widowControl/>
        <w:numPr>
          <w:ilvl w:val="0"/>
          <w:numId w:val="0"/>
        </w:numPr>
        <w:shd w:val="clear" w:color="auto" w:fill="FFFFFF"/>
        <w:ind w:firstLine="281" w:firstLineChars="1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（四）关于政府采购支出说明</w:t>
      </w:r>
    </w:p>
    <w:p w14:paraId="384404B5">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2018年政府采购总支出15936元，其中政府采购货物支出14736元，政府采购工程支出0，政府采购服务支出1200元。</w:t>
      </w:r>
    </w:p>
    <w:p w14:paraId="76C396B9">
      <w:pPr>
        <w:widowControl/>
        <w:numPr>
          <w:ilvl w:val="0"/>
          <w:numId w:val="0"/>
        </w:numPr>
        <w:shd w:val="clear" w:color="auto" w:fill="FFFFFF"/>
        <w:ind w:firstLine="281" w:firstLineChars="1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（五）关于国有资产占用情况说明</w:t>
      </w:r>
    </w:p>
    <w:p w14:paraId="5804D5D7">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截至2018年12月31日，本单位共有车辆0辆，其中领导干部用车0辆，一般公务用车0辆，一般执法执勤用车0辆，特种专业技术用车0辆，其它用车0辆。</w:t>
      </w:r>
    </w:p>
    <w:p w14:paraId="391E317C">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2017年12月31日，本单位共有车辆0辆，其中领导干部用车0辆，一般公务用车0辆，一般执法执勤用车0辆，特种专业技术用车0辆，其它用车0辆。2018年与2017年对比没有增减变化。</w:t>
      </w:r>
    </w:p>
    <w:p w14:paraId="59B3640B">
      <w:pPr>
        <w:widowControl/>
        <w:numPr>
          <w:ilvl w:val="0"/>
          <w:numId w:val="0"/>
        </w:numPr>
        <w:shd w:val="clear" w:color="auto" w:fill="FFFFFF"/>
        <w:ind w:firstLine="281" w:firstLineChars="1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(六）重点绩效评价结果等预算绩效情况说明</w:t>
      </w:r>
    </w:p>
    <w:p w14:paraId="1E34A0DC">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2018年， 根据预算绩效管理要求，我单位组织2018年度一般公共预算项目支出全面开展绩效自评，共涉及项目</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lang w:val="en-US" w:eastAsia="zh-CN"/>
        </w:rPr>
        <w:t>个，资金</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lang w:val="en-US" w:eastAsia="zh-CN"/>
        </w:rPr>
        <w:t>万元。 2018年项目资金投入</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lang w:val="en-US" w:eastAsia="zh-CN"/>
        </w:rPr>
        <w:t>万元，已使用</w:t>
      </w:r>
      <w:r>
        <w:rPr>
          <w:rFonts w:hint="eastAsia" w:asciiTheme="minorEastAsia" w:hAnsiTheme="minorEastAsia" w:cstheme="minorEastAsia"/>
          <w:color w:val="000000"/>
          <w:spacing w:val="2"/>
          <w:sz w:val="28"/>
          <w:szCs w:val="28"/>
          <w:lang w:val="en-US" w:eastAsia="zh-CN"/>
        </w:rPr>
        <w:t>0</w:t>
      </w:r>
      <w:r>
        <w:rPr>
          <w:rFonts w:hint="eastAsia" w:asciiTheme="minorEastAsia" w:hAnsiTheme="minorEastAsia" w:eastAsiaTheme="minorEastAsia" w:cstheme="minorEastAsia"/>
          <w:color w:val="000000"/>
          <w:spacing w:val="2"/>
          <w:sz w:val="28"/>
          <w:szCs w:val="28"/>
          <w:lang w:val="en-US" w:eastAsia="zh-CN"/>
        </w:rPr>
        <w:t>万元。使用从评价结果看，项目立项程序完整、规范，预算执行及时、有效，绩效目标得到较好实现，绩效管理水平不断提高，绩效指标体系建设逐渐丰富和完善。</w:t>
      </w:r>
    </w:p>
    <w:p w14:paraId="62E65595">
      <w:pPr>
        <w:spacing w:line="560" w:lineRule="exact"/>
        <w:ind w:firstLine="240" w:firstLineChars="100"/>
        <w:rPr>
          <w:rFonts w:hint="eastAsia" w:ascii="微软雅黑" w:hAnsi="微软雅黑" w:eastAsia="微软雅黑" w:cs="微软雅黑"/>
          <w:b/>
          <w:bCs/>
          <w:i w:val="0"/>
          <w:caps w:val="0"/>
          <w:color w:val="000000"/>
          <w:spacing w:val="0"/>
          <w:sz w:val="24"/>
          <w:szCs w:val="24"/>
          <w:shd w:val="clear" w:color="auto" w:fill="auto"/>
          <w:lang w:val="en-US" w:eastAsia="zh-CN"/>
        </w:rPr>
      </w:pPr>
      <w:r>
        <w:rPr>
          <w:rFonts w:hint="eastAsia" w:ascii="微软雅黑" w:hAnsi="微软雅黑" w:eastAsia="微软雅黑" w:cs="微软雅黑"/>
          <w:b/>
          <w:bCs/>
          <w:i w:val="0"/>
          <w:caps w:val="0"/>
          <w:color w:val="000000"/>
          <w:spacing w:val="0"/>
          <w:sz w:val="24"/>
          <w:szCs w:val="24"/>
          <w:shd w:val="clear" w:color="auto" w:fill="auto"/>
          <w:lang w:val="en-US" w:eastAsia="zh-CN"/>
        </w:rPr>
        <w:t>第四部分 名词解释</w:t>
      </w:r>
    </w:p>
    <w:p w14:paraId="063A4D7D">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（一）财政拨款（补助）：指省级财政当年拨付的资金。</w:t>
      </w:r>
    </w:p>
    <w:p w14:paraId="26B1FC09">
      <w:pPr>
        <w:widowControl/>
        <w:spacing w:line="500" w:lineRule="exact"/>
        <w:ind w:left="559" w:leftChars="266" w:firstLine="0" w:firstLineChars="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 xml:space="preserve">（二）事业收入：指事业单位开展专业业务活动及其辅助活动取得的收入。 </w:t>
      </w:r>
      <w:r>
        <w:rPr>
          <w:rFonts w:hint="eastAsia" w:asciiTheme="minorEastAsia" w:hAnsiTheme="minorEastAsia" w:eastAsiaTheme="minorEastAsia" w:cstheme="minorEastAsia"/>
          <w:color w:val="000000"/>
          <w:spacing w:val="2"/>
          <w:sz w:val="28"/>
          <w:szCs w:val="28"/>
          <w:lang w:val="en-US" w:eastAsia="zh-CN"/>
        </w:rPr>
        <w:br w:type="textWrapping"/>
      </w:r>
      <w:r>
        <w:rPr>
          <w:rFonts w:hint="eastAsia" w:asciiTheme="minorEastAsia" w:hAnsiTheme="minorEastAsia" w:eastAsiaTheme="minorEastAsia" w:cstheme="minorEastAsia"/>
          <w:color w:val="000000"/>
          <w:spacing w:val="2"/>
          <w:sz w:val="28"/>
          <w:szCs w:val="28"/>
          <w:lang w:val="en-US" w:eastAsia="zh-CN"/>
        </w:rPr>
        <w:t xml:space="preserve">（三）其他收入：指预算单位在“财政拨款补助收入”、“事业收入”、“经营收入”以外取得的收入。 </w:t>
      </w:r>
      <w:r>
        <w:rPr>
          <w:rFonts w:hint="eastAsia" w:asciiTheme="minorEastAsia" w:hAnsiTheme="minorEastAsia" w:eastAsiaTheme="minorEastAsia" w:cstheme="minorEastAsia"/>
          <w:color w:val="000000"/>
          <w:spacing w:val="2"/>
          <w:sz w:val="28"/>
          <w:szCs w:val="28"/>
          <w:lang w:val="en-US" w:eastAsia="zh-CN"/>
        </w:rPr>
        <w:br w:type="textWrapping"/>
      </w:r>
      <w:r>
        <w:rPr>
          <w:rFonts w:hint="eastAsia" w:asciiTheme="minorEastAsia" w:hAnsiTheme="minorEastAsia" w:eastAsiaTheme="minorEastAsia" w:cstheme="minorEastAsia"/>
          <w:color w:val="000000"/>
          <w:spacing w:val="2"/>
          <w:sz w:val="28"/>
          <w:szCs w:val="28"/>
          <w:lang w:val="en-US" w:eastAsia="zh-CN"/>
        </w:rPr>
        <w:t xml:space="preserve">（四）上年结转：指以前年度尚未完成、结转到本年仍按原规定用途继续使用的资金。 </w:t>
      </w:r>
      <w:r>
        <w:rPr>
          <w:rFonts w:hint="eastAsia" w:asciiTheme="minorEastAsia" w:hAnsiTheme="minorEastAsia" w:eastAsiaTheme="minorEastAsia" w:cstheme="minorEastAsia"/>
          <w:color w:val="000000"/>
          <w:spacing w:val="2"/>
          <w:sz w:val="28"/>
          <w:szCs w:val="28"/>
          <w:lang w:val="en-US" w:eastAsia="zh-CN"/>
        </w:rPr>
        <w:br w:type="textWrapping"/>
      </w:r>
      <w:r>
        <w:rPr>
          <w:rFonts w:hint="eastAsia" w:asciiTheme="minorEastAsia" w:hAnsiTheme="minorEastAsia" w:eastAsiaTheme="minorEastAsia" w:cstheme="minorEastAsia"/>
          <w:color w:val="000000"/>
          <w:spacing w:val="2"/>
          <w:sz w:val="28"/>
          <w:szCs w:val="28"/>
          <w:lang w:val="en-US" w:eastAsia="zh-CN"/>
        </w:rPr>
        <w:t xml:space="preserve">（五）基本支出：指为保障机构正常运转、完成日常工作任务而发生的人员支出和公用支出。 </w:t>
      </w:r>
      <w:r>
        <w:rPr>
          <w:rFonts w:hint="eastAsia" w:asciiTheme="minorEastAsia" w:hAnsiTheme="minorEastAsia" w:eastAsiaTheme="minorEastAsia" w:cstheme="minorEastAsia"/>
          <w:color w:val="000000"/>
          <w:spacing w:val="2"/>
          <w:sz w:val="28"/>
          <w:szCs w:val="28"/>
          <w:lang w:val="en-US" w:eastAsia="zh-CN"/>
        </w:rPr>
        <w:br w:type="textWrapping"/>
      </w:r>
      <w:r>
        <w:rPr>
          <w:rFonts w:hint="eastAsia" w:asciiTheme="minorEastAsia" w:hAnsiTheme="minorEastAsia" w:eastAsiaTheme="minorEastAsia" w:cstheme="minorEastAsia"/>
          <w:color w:val="000000"/>
          <w:spacing w:val="2"/>
          <w:sz w:val="28"/>
          <w:szCs w:val="28"/>
          <w:lang w:val="en-US" w:eastAsia="zh-CN"/>
        </w:rPr>
        <w:t>（六）项目支出：指为完成特定的行政工作任务或事业发展目标，在基本支出之外发生的各项支出。</w:t>
      </w:r>
    </w:p>
    <w:p w14:paraId="7316C901">
      <w:pPr>
        <w:widowControl/>
        <w:spacing w:line="500" w:lineRule="exact"/>
        <w:ind w:firstLine="568" w:firstLineChars="200"/>
        <w:rPr>
          <w:rFonts w:hint="eastAsia" w:asciiTheme="minorEastAsia" w:hAnsiTheme="minorEastAsia" w:eastAsiaTheme="minorEastAsia" w:cstheme="minorEastAsia"/>
          <w:color w:val="000000"/>
          <w:spacing w:val="2"/>
          <w:sz w:val="28"/>
          <w:szCs w:val="28"/>
          <w:lang w:val="en-US" w:eastAsia="zh-CN"/>
        </w:rPr>
      </w:pPr>
      <w:r>
        <w:rPr>
          <w:rFonts w:hint="eastAsia" w:asciiTheme="minorEastAsia" w:hAnsiTheme="minorEastAsia" w:eastAsiaTheme="minorEastAsia" w:cstheme="minorEastAsia"/>
          <w:color w:val="000000"/>
          <w:spacing w:val="2"/>
          <w:sz w:val="28"/>
          <w:szCs w:val="28"/>
          <w:lang w:val="en-US" w:eastAsia="zh-CN"/>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125A812">
      <w:pPr>
        <w:widowControl/>
        <w:spacing w:line="50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lang w:val="en-US" w:eastAsia="zh-CN"/>
        </w:rPr>
        <w:t>（八）行政运行（项）：指机关和实行公务员法管理事业单位用于保障机构正常运转的基本支出。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7D88C"/>
    <w:multiLevelType w:val="singleLevel"/>
    <w:tmpl w:val="88F7D8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1B"/>
    <w:rsid w:val="00272EB2"/>
    <w:rsid w:val="00372D2F"/>
    <w:rsid w:val="00476E0C"/>
    <w:rsid w:val="004C401B"/>
    <w:rsid w:val="00623FF1"/>
    <w:rsid w:val="00A75E7E"/>
    <w:rsid w:val="00B04E28"/>
    <w:rsid w:val="01956809"/>
    <w:rsid w:val="0664587B"/>
    <w:rsid w:val="09725551"/>
    <w:rsid w:val="09BB1153"/>
    <w:rsid w:val="09FF39B4"/>
    <w:rsid w:val="0E3740FB"/>
    <w:rsid w:val="10157CA5"/>
    <w:rsid w:val="11411182"/>
    <w:rsid w:val="13FA6E94"/>
    <w:rsid w:val="1D3216D7"/>
    <w:rsid w:val="219E41B4"/>
    <w:rsid w:val="255E033E"/>
    <w:rsid w:val="27272230"/>
    <w:rsid w:val="27390172"/>
    <w:rsid w:val="2CCE2491"/>
    <w:rsid w:val="2EB1001A"/>
    <w:rsid w:val="2F081AB6"/>
    <w:rsid w:val="401A2F36"/>
    <w:rsid w:val="408F5EDF"/>
    <w:rsid w:val="44064590"/>
    <w:rsid w:val="457D21A1"/>
    <w:rsid w:val="49D83A19"/>
    <w:rsid w:val="4F573DA3"/>
    <w:rsid w:val="507C1CF5"/>
    <w:rsid w:val="57193076"/>
    <w:rsid w:val="60CA11FB"/>
    <w:rsid w:val="61773BFF"/>
    <w:rsid w:val="621B3808"/>
    <w:rsid w:val="67E4782B"/>
    <w:rsid w:val="6A5F0092"/>
    <w:rsid w:val="6BBB2C6E"/>
    <w:rsid w:val="746766E2"/>
    <w:rsid w:val="74EA7B66"/>
    <w:rsid w:val="76CF2072"/>
    <w:rsid w:val="78186405"/>
    <w:rsid w:val="784C1E5B"/>
    <w:rsid w:val="7D41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apple-converted-space"/>
    <w:basedOn w:val="10"/>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10"/>
    <w:link w:val="7"/>
    <w:qFormat/>
    <w:uiPriority w:val="0"/>
    <w:rPr>
      <w:rFonts w:asciiTheme="minorHAnsi" w:hAnsiTheme="minorHAnsi" w:eastAsiaTheme="minorEastAsia" w:cstheme="minorBidi"/>
      <w:kern w:val="2"/>
      <w:sz w:val="18"/>
      <w:szCs w:val="18"/>
    </w:rPr>
  </w:style>
  <w:style w:type="character" w:customStyle="1" w:styleId="19">
    <w:name w:val="页脚 Char"/>
    <w:basedOn w:val="10"/>
    <w:link w:val="6"/>
    <w:qFormat/>
    <w:uiPriority w:val="0"/>
    <w:rPr>
      <w:rFonts w:asciiTheme="minorHAnsi" w:hAnsiTheme="minorHAnsi" w:eastAsiaTheme="minorEastAsia" w:cstheme="minorBidi"/>
      <w:kern w:val="2"/>
      <w:sz w:val="18"/>
      <w:szCs w:val="18"/>
    </w:rPr>
  </w:style>
  <w:style w:type="character" w:customStyle="1" w:styleId="20">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3035</Words>
  <Characters>3458</Characters>
  <Lines>8</Lines>
  <Paragraphs>9</Paragraphs>
  <TotalTime>2</TotalTime>
  <ScaleCrop>false</ScaleCrop>
  <LinksUpToDate>false</LinksUpToDate>
  <CharactersWithSpaces>3482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2019-09-11T01:20:00Z</dcterms:created>
  <dc:creator>gg</dc:creator>
  <cp:lastModifiedBy>英甾</cp:lastModifiedBy>
  <dcterms:modified xsi:type="dcterms:W3CDTF">2025-02-12T03:06:55Z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CA500D1E23604CC18EBB6D16AE1EAF91_13</vt:lpwstr>
  </property>
</Properties>
</file>