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778EA">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妇联</w:t>
      </w:r>
      <w:r>
        <w:rPr>
          <w:rFonts w:ascii="微软雅黑" w:hAnsi="微软雅黑" w:eastAsia="微软雅黑" w:cs="微软雅黑"/>
          <w:color w:val="BC1010"/>
          <w:sz w:val="40"/>
          <w:szCs w:val="40"/>
          <w:shd w:val="clear" w:color="auto" w:fill="FFFFFF"/>
        </w:rPr>
        <w:t>2018</w:t>
      </w:r>
      <w:r>
        <w:rPr>
          <w:rFonts w:hint="eastAsia" w:ascii="微软雅黑" w:hAnsi="微软雅黑" w:eastAsia="微软雅黑" w:cs="微软雅黑"/>
          <w:color w:val="BC1010"/>
          <w:sz w:val="40"/>
          <w:szCs w:val="40"/>
          <w:shd w:val="clear" w:color="auto" w:fill="FFFFFF"/>
        </w:rPr>
        <w:t>年决算公开</w:t>
      </w:r>
    </w:p>
    <w:p w14:paraId="30C3CF34">
      <w:pPr>
        <w:pStyle w:val="7"/>
        <w:widowControl/>
        <w:spacing w:before="76" w:beforeAutospacing="0" w:after="76" w:afterAutospacing="0" w:line="450" w:lineRule="atLeast"/>
        <w:ind w:firstLine="420"/>
        <w:jc w:val="center"/>
        <w:rPr>
          <w:color w:val="333333"/>
        </w:rPr>
      </w:pPr>
      <w:bookmarkStart w:id="0" w:name="_GoBack"/>
      <w:r>
        <w:rPr>
          <w:rStyle w:val="10"/>
          <w:rFonts w:hint="eastAsia" w:ascii="微软雅黑" w:hAnsi="微软雅黑" w:eastAsia="微软雅黑" w:cs="微软雅黑"/>
          <w:color w:val="333333"/>
          <w:shd w:val="clear" w:color="auto" w:fill="FFFFFF"/>
        </w:rPr>
        <w:t>黄石港区妇联</w:t>
      </w:r>
      <w:r>
        <w:rPr>
          <w:rStyle w:val="10"/>
          <w:rFonts w:ascii="微软雅黑" w:hAnsi="微软雅黑" w:eastAsia="微软雅黑" w:cs="微软雅黑"/>
          <w:color w:val="333333"/>
          <w:shd w:val="clear" w:color="auto" w:fill="FFFFFF"/>
        </w:rPr>
        <w:t>2018</w:t>
      </w:r>
      <w:r>
        <w:rPr>
          <w:rStyle w:val="10"/>
          <w:rFonts w:hint="eastAsia" w:ascii="微软雅黑" w:hAnsi="微软雅黑" w:eastAsia="微软雅黑" w:cs="微软雅黑"/>
          <w:color w:val="333333"/>
          <w:shd w:val="clear" w:color="auto" w:fill="FFFFFF"/>
        </w:rPr>
        <w:t>年决算公开</w:t>
      </w:r>
    </w:p>
    <w:bookmarkEnd w:id="0"/>
    <w:p w14:paraId="5DC83638">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3A44209E">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3328FCD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55404501">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42D665A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2018</w:t>
      </w:r>
      <w:r>
        <w:rPr>
          <w:rFonts w:hint="eastAsia" w:ascii="微软雅黑" w:hAnsi="微软雅黑" w:eastAsia="微软雅黑" w:cs="微软雅黑"/>
          <w:color w:val="333333"/>
          <w:shd w:val="clear" w:color="auto" w:fill="FFFFFF"/>
        </w:rPr>
        <w:t>年部门决算表</w:t>
      </w:r>
    </w:p>
    <w:p w14:paraId="4C7198FD">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77D0F9D3">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529FB72F">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6E81DD7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5C03A9B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34D5CDD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41816E09">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5FFC1D3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八、政府性基金预算财政拨款收入支出决算表（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2188E7F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2018</w:t>
      </w:r>
      <w:r>
        <w:rPr>
          <w:rFonts w:hint="eastAsia" w:ascii="微软雅黑" w:hAnsi="微软雅黑" w:eastAsia="微软雅黑" w:cs="微软雅黑"/>
          <w:color w:val="333333"/>
          <w:shd w:val="clear" w:color="auto" w:fill="FFFFFF"/>
        </w:rPr>
        <w:t>年部门决算情况说明</w:t>
      </w:r>
    </w:p>
    <w:p w14:paraId="4B635598">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2C237F9F">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6E1B9DBB">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25189F8D">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1CE1202B">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1F7415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1D67DB43">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14:paraId="7FADFAD3">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1044DE2B">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2018</w:t>
      </w:r>
      <w:r>
        <w:rPr>
          <w:rStyle w:val="10"/>
          <w:rFonts w:hint="eastAsia" w:ascii="微软雅黑" w:hAnsi="微软雅黑" w:eastAsia="微软雅黑" w:cs="微软雅黑"/>
          <w:color w:val="333333"/>
          <w:shd w:val="clear" w:color="auto" w:fill="FFFFFF"/>
        </w:rPr>
        <w:t>年部门决算</w:t>
      </w:r>
    </w:p>
    <w:p w14:paraId="75A41226">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14:paraId="518C3569">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8"/>
          <w:szCs w:val="28"/>
        </w:rPr>
        <w:t>（</w:t>
      </w:r>
      <w:r>
        <w:rPr>
          <w:rFonts w:hint="eastAsia" w:ascii="宋体" w:hAnsi="宋体"/>
          <w:sz w:val="28"/>
          <w:szCs w:val="28"/>
        </w:rPr>
        <w:t>一）主要职责</w:t>
      </w:r>
    </w:p>
    <w:p w14:paraId="2E43D6E4">
      <w:pPr>
        <w:spacing w:line="620" w:lineRule="exact"/>
        <w:rPr>
          <w:rFonts w:ascii="宋体" w:hAnsi="宋体" w:cs="宋体"/>
          <w:kern w:val="0"/>
          <w:sz w:val="28"/>
          <w:szCs w:val="28"/>
        </w:rPr>
      </w:pPr>
      <w:r>
        <w:rPr>
          <w:rFonts w:ascii="宋体" w:hAnsi="宋体" w:cs="宋体"/>
          <w:kern w:val="0"/>
          <w:sz w:val="28"/>
          <w:szCs w:val="28"/>
          <w:lang w:val="zh-CN"/>
        </w:rPr>
        <w:t xml:space="preserve">    </w:t>
      </w:r>
      <w:r>
        <w:rPr>
          <w:rFonts w:hint="eastAsia" w:ascii="宋体" w:hAnsi="宋体" w:cs="宋体"/>
          <w:kern w:val="0"/>
          <w:sz w:val="28"/>
          <w:szCs w:val="28"/>
        </w:rPr>
        <w:t>黄石市黄石港区妇女联合会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现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ascii="宋体" w:cs="宋体"/>
          <w:kern w:val="0"/>
          <w:sz w:val="28"/>
          <w:szCs w:val="28"/>
        </w:rPr>
        <w:t> </w:t>
      </w:r>
    </w:p>
    <w:p w14:paraId="53E9364F">
      <w:pPr>
        <w:numPr>
          <w:ilvl w:val="0"/>
          <w:numId w:val="1"/>
        </w:numPr>
        <w:spacing w:line="620" w:lineRule="exact"/>
        <w:ind w:left="280" w:leftChars="0" w:firstLine="0" w:firstLineChars="0"/>
        <w:rPr>
          <w:rFonts w:hint="eastAsia" w:ascii="宋体" w:hAnsi="宋体"/>
          <w:sz w:val="28"/>
          <w:szCs w:val="28"/>
        </w:rPr>
      </w:pPr>
      <w:r>
        <w:rPr>
          <w:rFonts w:hint="eastAsia" w:ascii="宋体" w:hAnsi="宋体"/>
          <w:sz w:val="28"/>
          <w:szCs w:val="28"/>
        </w:rPr>
        <w:t>机构设置：</w:t>
      </w:r>
    </w:p>
    <w:p w14:paraId="2549AD2A">
      <w:pPr>
        <w:numPr>
          <w:ilvl w:val="0"/>
          <w:numId w:val="0"/>
        </w:numPr>
        <w:spacing w:line="620" w:lineRule="exact"/>
        <w:ind w:left="280" w:leftChars="0"/>
        <w:rPr>
          <w:rFonts w:ascii="宋体" w:hAnsi="宋体" w:cs="宋体"/>
          <w:color w:val="333333"/>
          <w:kern w:val="0"/>
          <w:sz w:val="30"/>
          <w:szCs w:val="30"/>
        </w:rPr>
      </w:pPr>
      <w:r>
        <w:rPr>
          <w:rFonts w:hint="eastAsia" w:ascii="宋体" w:hAnsi="宋体" w:cs="Tahoma"/>
          <w:color w:val="333333"/>
          <w:kern w:val="0"/>
          <w:sz w:val="28"/>
          <w:szCs w:val="28"/>
        </w:rPr>
        <w:t>下设办公室</w:t>
      </w:r>
      <w:r>
        <w:rPr>
          <w:rFonts w:hint="eastAsia" w:ascii="宋体" w:hAnsi="宋体" w:cs="Tahoma"/>
          <w:color w:val="333333"/>
          <w:kern w:val="0"/>
          <w:sz w:val="28"/>
          <w:szCs w:val="28"/>
          <w:lang w:eastAsia="zh-CN"/>
        </w:rPr>
        <w:t>。</w:t>
      </w:r>
    </w:p>
    <w:p w14:paraId="57CD5EE0">
      <w:pPr>
        <w:pStyle w:val="7"/>
        <w:widowControl/>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第二部分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lang w:eastAsia="zh-CN"/>
        </w:rPr>
        <w:t>部门</w:t>
      </w:r>
      <w:r>
        <w:rPr>
          <w:rStyle w:val="10"/>
          <w:rFonts w:ascii="微软雅黑" w:hAnsi="微软雅黑" w:eastAsia="微软雅黑" w:cs="微软雅黑"/>
          <w:color w:val="333333"/>
          <w:shd w:val="clear" w:color="auto" w:fill="FFFFFF"/>
        </w:rPr>
        <w:t>2018</w:t>
      </w:r>
      <w:r>
        <w:rPr>
          <w:rStyle w:val="10"/>
          <w:rFonts w:hint="eastAsia" w:ascii="微软雅黑" w:hAnsi="微软雅黑" w:eastAsia="微软雅黑" w:cs="微软雅黑"/>
          <w:color w:val="333333"/>
          <w:shd w:val="clear" w:color="auto" w:fill="FFFFFF"/>
        </w:rPr>
        <w:t>年部门决算表</w:t>
      </w:r>
      <w:r>
        <w:drawing>
          <wp:inline distT="0" distB="0" distL="114300" distR="114300">
            <wp:extent cx="8855075" cy="4755515"/>
            <wp:effectExtent l="0" t="0" r="31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855075" cy="4755515"/>
                    </a:xfrm>
                    <a:prstGeom prst="rect">
                      <a:avLst/>
                    </a:prstGeom>
                    <a:noFill/>
                    <a:ln>
                      <a:noFill/>
                    </a:ln>
                  </pic:spPr>
                </pic:pic>
              </a:graphicData>
            </a:graphic>
          </wp:inline>
        </w:drawing>
      </w:r>
    </w:p>
    <w:p w14:paraId="494557F3">
      <w:pPr>
        <w:pStyle w:val="7"/>
        <w:widowControl/>
        <w:spacing w:before="76" w:beforeAutospacing="0" w:after="76" w:afterAutospacing="0" w:line="450" w:lineRule="atLeast"/>
      </w:pPr>
      <w:r>
        <w:drawing>
          <wp:inline distT="0" distB="0" distL="114300" distR="114300">
            <wp:extent cx="8860155" cy="2734310"/>
            <wp:effectExtent l="0" t="0" r="1714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860155" cy="2734310"/>
                    </a:xfrm>
                    <a:prstGeom prst="rect">
                      <a:avLst/>
                    </a:prstGeom>
                    <a:noFill/>
                    <a:ln>
                      <a:noFill/>
                    </a:ln>
                  </pic:spPr>
                </pic:pic>
              </a:graphicData>
            </a:graphic>
          </wp:inline>
        </w:drawing>
      </w:r>
    </w:p>
    <w:p w14:paraId="62E144CC">
      <w:pPr>
        <w:pStyle w:val="7"/>
        <w:widowControl/>
        <w:spacing w:before="76" w:beforeAutospacing="0" w:after="76" w:afterAutospacing="0" w:line="450" w:lineRule="atLeast"/>
        <w:rPr>
          <w:color w:val="333333"/>
        </w:rPr>
      </w:pPr>
      <w:r>
        <w:drawing>
          <wp:inline distT="0" distB="0" distL="114300" distR="114300">
            <wp:extent cx="8872220" cy="2355850"/>
            <wp:effectExtent l="0" t="0" r="508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8872220" cy="2355850"/>
                    </a:xfrm>
                    <a:prstGeom prst="rect">
                      <a:avLst/>
                    </a:prstGeom>
                    <a:noFill/>
                    <a:ln>
                      <a:noFill/>
                    </a:ln>
                  </pic:spPr>
                </pic:pic>
              </a:graphicData>
            </a:graphic>
          </wp:inline>
        </w:drawing>
      </w:r>
      <w:r>
        <w:drawing>
          <wp:inline distT="0" distB="0" distL="114300" distR="114300">
            <wp:extent cx="8841105" cy="5661660"/>
            <wp:effectExtent l="0" t="0" r="1714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8841105" cy="5661660"/>
                    </a:xfrm>
                    <a:prstGeom prst="rect">
                      <a:avLst/>
                    </a:prstGeom>
                    <a:noFill/>
                    <a:ln>
                      <a:noFill/>
                    </a:ln>
                  </pic:spPr>
                </pic:pic>
              </a:graphicData>
            </a:graphic>
          </wp:inline>
        </w:drawing>
      </w:r>
    </w:p>
    <w:p w14:paraId="61F9AFCB">
      <w:pPr>
        <w:pStyle w:val="7"/>
        <w:widowControl/>
        <w:spacing w:before="76" w:beforeAutospacing="0" w:after="76" w:afterAutospacing="0" w:line="450" w:lineRule="atLeast"/>
        <w:rPr>
          <w:color w:val="333333"/>
        </w:rPr>
      </w:pPr>
      <w:r>
        <w:drawing>
          <wp:inline distT="0" distB="0" distL="114300" distR="114300">
            <wp:extent cx="8865235" cy="3429000"/>
            <wp:effectExtent l="0" t="0" r="1206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8865235" cy="3429000"/>
                    </a:xfrm>
                    <a:prstGeom prst="rect">
                      <a:avLst/>
                    </a:prstGeom>
                    <a:noFill/>
                    <a:ln>
                      <a:noFill/>
                    </a:ln>
                  </pic:spPr>
                </pic:pic>
              </a:graphicData>
            </a:graphic>
          </wp:inline>
        </w:drawing>
      </w:r>
    </w:p>
    <w:p w14:paraId="33041A54">
      <w:pPr>
        <w:pStyle w:val="7"/>
        <w:widowControl/>
        <w:spacing w:before="76" w:beforeAutospacing="0" w:after="76" w:afterAutospacing="0" w:line="450" w:lineRule="atLeast"/>
        <w:ind w:firstLine="420"/>
        <w:rPr>
          <w:color w:val="333333"/>
        </w:rPr>
      </w:pPr>
    </w:p>
    <w:p w14:paraId="701A8A89">
      <w:pPr>
        <w:pStyle w:val="7"/>
        <w:widowControl/>
        <w:spacing w:before="76" w:beforeAutospacing="0" w:after="76" w:afterAutospacing="0" w:line="450" w:lineRule="atLeast"/>
        <w:ind w:firstLine="420"/>
        <w:rPr>
          <w:color w:val="333333"/>
        </w:rPr>
      </w:pPr>
    </w:p>
    <w:p w14:paraId="1A4E77BA">
      <w:pPr>
        <w:pStyle w:val="7"/>
        <w:widowControl/>
        <w:spacing w:before="76" w:beforeAutospacing="0" w:after="76" w:afterAutospacing="0" w:line="450" w:lineRule="atLeast"/>
        <w:ind w:firstLine="420"/>
        <w:rPr>
          <w:color w:val="333333"/>
        </w:rPr>
      </w:pPr>
    </w:p>
    <w:p w14:paraId="68256263">
      <w:pPr>
        <w:pStyle w:val="7"/>
        <w:widowControl/>
        <w:spacing w:before="76" w:beforeAutospacing="0" w:after="76" w:afterAutospacing="0" w:line="450" w:lineRule="atLeast"/>
        <w:rPr>
          <w:color w:val="333333"/>
        </w:rPr>
      </w:pPr>
    </w:p>
    <w:p w14:paraId="5814F3BF">
      <w:pPr>
        <w:pStyle w:val="7"/>
        <w:widowControl/>
        <w:spacing w:before="76" w:beforeAutospacing="0" w:after="76" w:afterAutospacing="0" w:line="450" w:lineRule="atLeast"/>
      </w:pPr>
      <w:r>
        <w:drawing>
          <wp:inline distT="0" distB="0" distL="114300" distR="114300">
            <wp:extent cx="8862695" cy="5501005"/>
            <wp:effectExtent l="0" t="0" r="1460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8862695" cy="5501005"/>
                    </a:xfrm>
                    <a:prstGeom prst="rect">
                      <a:avLst/>
                    </a:prstGeom>
                    <a:noFill/>
                    <a:ln>
                      <a:noFill/>
                    </a:ln>
                  </pic:spPr>
                </pic:pic>
              </a:graphicData>
            </a:graphic>
          </wp:inline>
        </w:drawing>
      </w:r>
    </w:p>
    <w:p w14:paraId="0809904B">
      <w:pPr>
        <w:pStyle w:val="7"/>
        <w:widowControl/>
        <w:spacing w:before="76" w:beforeAutospacing="0" w:after="76" w:afterAutospacing="0" w:line="450" w:lineRule="atLeast"/>
      </w:pPr>
      <w:r>
        <w:drawing>
          <wp:inline distT="0" distB="0" distL="114300" distR="114300">
            <wp:extent cx="8863330" cy="2056130"/>
            <wp:effectExtent l="0" t="0" r="1397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8863330" cy="2056130"/>
                    </a:xfrm>
                    <a:prstGeom prst="rect">
                      <a:avLst/>
                    </a:prstGeom>
                    <a:noFill/>
                    <a:ln>
                      <a:noFill/>
                    </a:ln>
                  </pic:spPr>
                </pic:pic>
              </a:graphicData>
            </a:graphic>
          </wp:inline>
        </w:drawing>
      </w:r>
    </w:p>
    <w:p w14:paraId="206390EC">
      <w:pPr>
        <w:pStyle w:val="7"/>
        <w:widowControl/>
        <w:spacing w:before="76" w:beforeAutospacing="0" w:after="76" w:afterAutospacing="0" w:line="450" w:lineRule="atLeast"/>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r>
        <w:drawing>
          <wp:inline distT="0" distB="0" distL="114300" distR="114300">
            <wp:extent cx="8853805" cy="2807335"/>
            <wp:effectExtent l="0" t="0" r="444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8853805" cy="2807335"/>
                    </a:xfrm>
                    <a:prstGeom prst="rect">
                      <a:avLst/>
                    </a:prstGeom>
                    <a:noFill/>
                    <a:ln>
                      <a:noFill/>
                    </a:ln>
                  </pic:spPr>
                </pic:pic>
              </a:graphicData>
            </a:graphic>
          </wp:inline>
        </w:drawing>
      </w:r>
    </w:p>
    <w:p w14:paraId="31B8F854">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2018</w:t>
      </w:r>
      <w:r>
        <w:rPr>
          <w:rStyle w:val="10"/>
          <w:rFonts w:hint="eastAsia" w:ascii="微软雅黑" w:hAnsi="微软雅黑" w:eastAsia="微软雅黑" w:cs="微软雅黑"/>
          <w:color w:val="333333"/>
          <w:shd w:val="clear" w:color="auto" w:fill="FFFFFF"/>
        </w:rPr>
        <w:t>年部门决算情况说明</w:t>
      </w:r>
    </w:p>
    <w:p w14:paraId="114228D7">
      <w:pPr>
        <w:pStyle w:val="7"/>
        <w:widowControl/>
        <w:spacing w:before="76" w:beforeAutospacing="0" w:after="76" w:afterAutospacing="0" w:line="450" w:lineRule="atLeast"/>
        <w:ind w:firstLine="420"/>
        <w:rPr>
          <w:rFonts w:hint="eastAsia"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lang w:eastAsia="zh-CN"/>
        </w:rPr>
        <w:t>（一）</w:t>
      </w:r>
      <w:r>
        <w:rPr>
          <w:rFonts w:hint="eastAsia" w:asciiTheme="minorEastAsia" w:hAnsiTheme="minorEastAsia" w:eastAsiaTheme="minorEastAsia" w:cstheme="minorEastAsia"/>
          <w:b/>
          <w:bCs/>
          <w:color w:val="333333"/>
          <w:sz w:val="28"/>
          <w:szCs w:val="28"/>
          <w:shd w:val="clear" w:color="auto" w:fill="FFFFFF"/>
        </w:rPr>
        <w:t>预算执行情况分析</w:t>
      </w:r>
    </w:p>
    <w:p w14:paraId="6374FFA7">
      <w:pPr>
        <w:shd w:val="clear" w:color="auto" w:fill="FFFFFF"/>
        <w:snapToGrid w:val="0"/>
        <w:spacing w:line="560" w:lineRule="atLeast"/>
        <w:ind w:firstLine="560" w:firstLineChars="20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1、收入分析：</w:t>
      </w:r>
    </w:p>
    <w:p w14:paraId="4D4FD665">
      <w:pPr>
        <w:shd w:val="clear" w:color="auto" w:fill="FFFFFF"/>
        <w:snapToGrid w:val="0"/>
        <w:spacing w:line="560" w:lineRule="atLeast"/>
        <w:ind w:firstLine="560" w:firstLineChars="20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2018年总收入33.11万元。比去年的33.77万元减少0.66万元，其中财政拨款收入29.24万元，占总收入的88.31%，其他收入3.87万元，占总收入的11.69%。</w:t>
      </w:r>
    </w:p>
    <w:p w14:paraId="7C164FD3">
      <w:pPr>
        <w:shd w:val="clear" w:color="auto" w:fill="FFFFFF"/>
        <w:snapToGrid w:val="0"/>
        <w:spacing w:line="560" w:lineRule="atLeast"/>
        <w:ind w:firstLine="560" w:firstLineChars="20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2、支出分析：</w:t>
      </w:r>
    </w:p>
    <w:p w14:paraId="0025DADC">
      <w:pPr>
        <w:shd w:val="clear" w:color="auto" w:fill="FFFFFF"/>
        <w:snapToGrid w:val="0"/>
        <w:spacing w:line="560" w:lineRule="atLeast"/>
        <w:ind w:firstLine="560" w:firstLineChars="20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2018年总支出为33.11万元。比去年的33.77万元减少0.66万元，其中一般公共预算财政拨款支出29.24万元。</w:t>
      </w:r>
    </w:p>
    <w:p w14:paraId="71F62EBC">
      <w:pPr>
        <w:pStyle w:val="7"/>
        <w:widowControl/>
        <w:spacing w:before="76" w:beforeAutospacing="0" w:after="76" w:afterAutospacing="0" w:line="450" w:lineRule="atLeast"/>
        <w:ind w:firstLine="281" w:firstLineChars="100"/>
        <w:rPr>
          <w:rFonts w:hint="eastAsia"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lang w:eastAsia="zh-CN"/>
        </w:rPr>
        <w:t>（二）</w:t>
      </w:r>
      <w:r>
        <w:rPr>
          <w:rFonts w:hint="eastAsia" w:asciiTheme="minorEastAsia" w:hAnsiTheme="minorEastAsia" w:eastAsiaTheme="minorEastAsia" w:cstheme="minorEastAsia"/>
          <w:b/>
          <w:bCs/>
          <w:color w:val="333333"/>
          <w:sz w:val="28"/>
          <w:szCs w:val="28"/>
          <w:shd w:val="clear" w:color="auto" w:fill="FFFFFF"/>
        </w:rPr>
        <w:t>关于“三公”经费支出说明</w:t>
      </w:r>
    </w:p>
    <w:p w14:paraId="7A6C03FF">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本年与去年均无三公经费支出</w:t>
      </w:r>
      <w:r>
        <w:rPr>
          <w:rFonts w:hint="eastAsia" w:asciiTheme="minorEastAsia" w:hAnsiTheme="minorEastAsia" w:eastAsiaTheme="minorEastAsia" w:cstheme="minorEastAsia"/>
          <w:color w:val="333333"/>
          <w:sz w:val="28"/>
          <w:szCs w:val="28"/>
          <w:shd w:val="clear" w:color="auto" w:fill="FFFFFF"/>
          <w:lang w:eastAsia="zh-CN"/>
        </w:rPr>
        <w:t>。</w:t>
      </w:r>
    </w:p>
    <w:p w14:paraId="48AA21F0">
      <w:pPr>
        <w:pStyle w:val="7"/>
        <w:widowControl/>
        <w:numPr>
          <w:ilvl w:val="0"/>
          <w:numId w:val="0"/>
        </w:numPr>
        <w:spacing w:before="76" w:beforeAutospacing="0" w:after="76" w:afterAutospacing="0" w:line="450" w:lineRule="atLeast"/>
        <w:ind w:firstLine="281" w:firstLineChars="100"/>
        <w:rPr>
          <w:rFonts w:hint="eastAsia"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lang w:eastAsia="zh-CN"/>
        </w:rPr>
        <w:t>（三）</w:t>
      </w:r>
      <w:r>
        <w:rPr>
          <w:rFonts w:hint="eastAsia" w:asciiTheme="minorEastAsia" w:hAnsiTheme="minorEastAsia" w:eastAsiaTheme="minorEastAsia" w:cstheme="minorEastAsia"/>
          <w:b/>
          <w:bCs/>
          <w:color w:val="333333"/>
          <w:sz w:val="28"/>
          <w:szCs w:val="28"/>
          <w:shd w:val="clear" w:color="auto" w:fill="FFFFFF"/>
        </w:rPr>
        <w:t>关于机关运行经费支出说明</w:t>
      </w:r>
    </w:p>
    <w:p w14:paraId="08356B9D">
      <w:pPr>
        <w:pStyle w:val="7"/>
        <w:keepNext w:val="0"/>
        <w:keepLines w:val="0"/>
        <w:pageBreakBefore w:val="0"/>
        <w:widowControl/>
        <w:numPr>
          <w:ilvl w:val="0"/>
          <w:numId w:val="0"/>
        </w:numPr>
        <w:kinsoku/>
        <w:wordWrap/>
        <w:overflowPunct/>
        <w:topLinePunct w:val="0"/>
        <w:autoSpaceDE/>
        <w:autoSpaceDN/>
        <w:bidi w:val="0"/>
        <w:adjustRightInd/>
        <w:snapToGrid/>
        <w:spacing w:before="76" w:beforeAutospacing="0" w:after="76" w:afterAutospacing="0" w:line="450" w:lineRule="atLeast"/>
        <w:ind w:firstLine="560" w:firstLineChars="200"/>
        <w:textAlignment w:val="auto"/>
        <w:rPr>
          <w:rFonts w:hint="eastAsia" w:asciiTheme="minorEastAsia" w:hAnsiTheme="minorEastAsia" w:eastAsiaTheme="minorEastAsia" w:cstheme="minorEastAsia"/>
          <w:color w:val="333333"/>
          <w:sz w:val="28"/>
          <w:szCs w:val="28"/>
          <w:shd w:val="clear" w:color="auto" w:fill="FFFFFF"/>
          <w:lang w:val="en-US" w:eastAsia="zh-CN"/>
        </w:rPr>
      </w:pPr>
      <w:r>
        <w:rPr>
          <w:rFonts w:hint="eastAsia" w:asciiTheme="minorEastAsia" w:hAnsiTheme="minorEastAsia" w:eastAsiaTheme="minorEastAsia" w:cstheme="minorEastAsia"/>
          <w:sz w:val="28"/>
          <w:szCs w:val="28"/>
        </w:rPr>
        <w:t>本部门2018年度机关运行经费支出16.08万元，其中：办公费2.15万元、印刷费0.63万元、差旅费0.19万元、会议费0.61万元、劳务费0.97万元、委托业务费9.86万元、工会经费0.40万元、福利费0.16万元、其他交通费用0.97万元、其他商品和服务支出0.13万元。2018年度机关运行经费支出比去年数8.89万元增加7.19万元，增长80.88%。主要原因是：事务增加</w:t>
      </w:r>
      <w:r>
        <w:rPr>
          <w:rFonts w:hint="eastAsia" w:asciiTheme="minorEastAsia" w:hAnsiTheme="minorEastAsia" w:eastAsiaTheme="minorEastAsia" w:cstheme="minorEastAsia"/>
          <w:sz w:val="28"/>
          <w:szCs w:val="28"/>
          <w:lang w:eastAsia="zh-CN"/>
        </w:rPr>
        <w:t>。</w:t>
      </w:r>
    </w:p>
    <w:p w14:paraId="27D34CEF">
      <w:pPr>
        <w:pStyle w:val="7"/>
        <w:widowControl/>
        <w:spacing w:before="76" w:beforeAutospacing="0" w:after="76" w:afterAutospacing="0" w:line="450" w:lineRule="atLeast"/>
        <w:ind w:firstLine="420"/>
        <w:rPr>
          <w:rFonts w:hint="eastAsia"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lang w:eastAsia="zh-CN"/>
        </w:rPr>
        <w:t>（四）</w:t>
      </w:r>
      <w:r>
        <w:rPr>
          <w:rFonts w:hint="eastAsia" w:asciiTheme="minorEastAsia" w:hAnsiTheme="minorEastAsia" w:eastAsiaTheme="minorEastAsia" w:cstheme="minorEastAsia"/>
          <w:b/>
          <w:bCs/>
          <w:color w:val="333333"/>
          <w:sz w:val="28"/>
          <w:szCs w:val="28"/>
          <w:shd w:val="clear" w:color="auto" w:fill="FFFFFF"/>
        </w:rPr>
        <w:t>关于政府采购支出说明</w:t>
      </w:r>
    </w:p>
    <w:p w14:paraId="41E49578">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本部门2018年度政府采购支出总额0.22万元，其中：政府采购货物支出0.22万元。</w:t>
      </w:r>
    </w:p>
    <w:p w14:paraId="453A9EFC">
      <w:pPr>
        <w:pStyle w:val="7"/>
        <w:widowControl/>
        <w:spacing w:before="76" w:beforeAutospacing="0" w:after="76" w:afterAutospacing="0" w:line="450" w:lineRule="atLeast"/>
        <w:ind w:firstLine="281" w:firstLineChars="100"/>
        <w:rPr>
          <w:rFonts w:hint="eastAsia"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lang w:eastAsia="zh-CN"/>
        </w:rPr>
        <w:t>（五）</w:t>
      </w:r>
      <w:r>
        <w:rPr>
          <w:rFonts w:hint="eastAsia" w:asciiTheme="minorEastAsia" w:hAnsiTheme="minorEastAsia" w:eastAsiaTheme="minorEastAsia" w:cstheme="minorEastAsia"/>
          <w:b/>
          <w:bCs/>
          <w:color w:val="333333"/>
          <w:sz w:val="28"/>
          <w:szCs w:val="28"/>
          <w:shd w:val="clear" w:color="auto" w:fill="FFFFFF"/>
        </w:rPr>
        <w:t>关于国有资产占用情况说明</w:t>
      </w:r>
    </w:p>
    <w:p w14:paraId="4979E389">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截至2018年12月31日，本部门无公务用车。</w:t>
      </w:r>
    </w:p>
    <w:p w14:paraId="56131432">
      <w:pPr>
        <w:pStyle w:val="7"/>
        <w:widowControl/>
        <w:spacing w:before="76" w:beforeAutospacing="0" w:after="76" w:afterAutospacing="0" w:line="450" w:lineRule="atLeast"/>
        <w:ind w:firstLine="281" w:firstLineChars="100"/>
        <w:rPr>
          <w:rFonts w:hint="eastAsia" w:asciiTheme="minorEastAsia" w:hAnsiTheme="minorEastAsia" w:eastAsiaTheme="minorEastAsia" w:cstheme="minorEastAsia"/>
          <w:b/>
          <w:bCs/>
          <w:color w:val="333333"/>
          <w:sz w:val="28"/>
          <w:szCs w:val="28"/>
          <w:shd w:val="clear" w:color="auto" w:fill="FFFFFF"/>
          <w:lang w:val="en-US" w:eastAsia="zh-CN"/>
        </w:rPr>
      </w:pPr>
      <w:r>
        <w:rPr>
          <w:rFonts w:hint="eastAsia" w:asciiTheme="minorEastAsia" w:hAnsiTheme="minorEastAsia" w:eastAsiaTheme="minorEastAsia" w:cstheme="minorEastAsia"/>
          <w:b/>
          <w:bCs/>
          <w:color w:val="333333"/>
          <w:sz w:val="28"/>
          <w:szCs w:val="28"/>
          <w:shd w:val="clear" w:color="auto" w:fill="FFFFFF"/>
          <w:lang w:val="en-US" w:eastAsia="zh-CN"/>
        </w:rPr>
        <w:t>（六）重点绩效评价结果等预算绩效情况说明</w:t>
      </w:r>
    </w:p>
    <w:p w14:paraId="6B0F662D">
      <w:pPr>
        <w:pStyle w:val="1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2018年， 根据预算绩效管理要求，我单位组织2018年度一般公共预算项目支出全面开展绩效自评，共涉及项目1个，资金1万元。 2018年项目资金投入1万元，已使用1万元，使用率100%。使用从评价结果看，项目立项程序完整、规范，预算执行及时、有效，绩效目标得到较好实现，绩效管理水平不断提高，绩效指标体系建设逐渐丰富和完善。</w:t>
      </w:r>
    </w:p>
    <w:p w14:paraId="386ACEF5">
      <w:pPr>
        <w:pStyle w:val="14"/>
        <w:rPr>
          <w:rFonts w:hint="eastAsia" w:asciiTheme="minorEastAsia" w:hAnsiTheme="minorEastAsia" w:eastAsiaTheme="minorEastAsia" w:cstheme="minorEastAsia"/>
          <w:sz w:val="28"/>
          <w:szCs w:val="28"/>
        </w:rPr>
      </w:pPr>
    </w:p>
    <w:p w14:paraId="4CFFE689">
      <w:pPr>
        <w:pStyle w:val="7"/>
        <w:widowControl/>
        <w:spacing w:beforeAutospacing="0" w:afterAutospacing="0" w:line="560" w:lineRule="exact"/>
        <w:rPr>
          <w:rFonts w:hint="eastAsia" w:asciiTheme="minorEastAsia" w:hAnsiTheme="minorEastAsia" w:eastAsiaTheme="minorEastAsia" w:cstheme="minorEastAsia"/>
          <w:sz w:val="28"/>
          <w:szCs w:val="28"/>
        </w:rPr>
      </w:pPr>
    </w:p>
    <w:p w14:paraId="13634529">
      <w:pPr>
        <w:pStyle w:val="7"/>
        <w:widowControl/>
        <w:spacing w:before="76" w:beforeAutospacing="0" w:after="76" w:afterAutospacing="0" w:line="450" w:lineRule="atLeast"/>
        <w:ind w:firstLine="420"/>
        <w:rPr>
          <w:rFonts w:hint="eastAsia" w:ascii="微软雅黑" w:hAnsi="微软雅黑" w:eastAsia="微软雅黑" w:cs="微软雅黑"/>
          <w:b/>
          <w:bCs/>
          <w:color w:val="333333"/>
          <w:sz w:val="24"/>
          <w:szCs w:val="24"/>
        </w:rPr>
      </w:pPr>
      <w:r>
        <w:rPr>
          <w:rFonts w:hint="eastAsia" w:ascii="微软雅黑" w:hAnsi="微软雅黑" w:eastAsia="微软雅黑" w:cs="微软雅黑"/>
          <w:b/>
          <w:bCs/>
          <w:sz w:val="24"/>
          <w:szCs w:val="24"/>
        </w:rPr>
        <w:t xml:space="preserve"> </w:t>
      </w:r>
      <w:r>
        <w:rPr>
          <w:rStyle w:val="10"/>
          <w:rFonts w:hint="eastAsia" w:ascii="微软雅黑" w:hAnsi="微软雅黑" w:eastAsia="微软雅黑" w:cs="微软雅黑"/>
          <w:b/>
          <w:bCs/>
          <w:color w:val="333333"/>
          <w:sz w:val="24"/>
          <w:szCs w:val="24"/>
          <w:shd w:val="clear" w:color="auto" w:fill="FFFFFF"/>
        </w:rPr>
        <w:t>第四部分 名词解释</w:t>
      </w:r>
    </w:p>
    <w:p w14:paraId="2B33E87A">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一、财政补助收入：指县级财政当年拨付的资金。</w:t>
      </w:r>
    </w:p>
    <w:p w14:paraId="302E0E1E">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二、其他收入：指除“财政拨款收入”、“上级补助收入”、“事业收入”、“经营收入”等以外的收入。主要是存款利息收入等。</w:t>
      </w:r>
    </w:p>
    <w:p w14:paraId="526630FF">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三、年初结转和结余：指以前年度尚未完成、结转到本年按有关规定继续使用的资金。</w:t>
      </w:r>
    </w:p>
    <w:p w14:paraId="27C7D819">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四、一般公共服务（类）行政运行（项）：指县行政单位及参照公务员管理事业单位用于保障机构正常运行、开展日常工作的基本支出。</w:t>
      </w:r>
    </w:p>
    <w:p w14:paraId="6242AE29">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2C8D7C81">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六、一般公共服务（类）机关服务（项）：指县黄石港区妇联服务中心为机关提供办公楼日常维修、维护等后勤保障服务的支出。</w:t>
      </w:r>
    </w:p>
    <w:p w14:paraId="5B15B389">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七、一般公共服务（类）其他一般公共服务支出（款）其他一般公共服务支出（项）：指黄石港区妇联用于其他一般公共服务方面的支出。</w:t>
      </w:r>
    </w:p>
    <w:p w14:paraId="708CDBF8">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八、教育（类）普通教育（款）高等教育（项）：指黄石港区妇联厅支持地方高校的重点发展和特色办学，组织专家对省属院校申报的建设规划和项目预算进行评审等相关工作的支出。</w:t>
      </w:r>
    </w:p>
    <w:p w14:paraId="6015AB8B">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九、社会保障和就业(类)行政事业单位离退休（款）归口管理的行政单位离退休（项）：指黄石港区妇联用于离退休人员的支出、退休人员支出，以及提供管理服务工作的离退休干部处的支出。</w:t>
      </w:r>
    </w:p>
    <w:p w14:paraId="61E226CB">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十、社会保障和就业(类)行政事业单位离退休（款）其他行政事业单位离退休支出（项）：指黄石港区妇联用于离退休方面的其他支出。</w:t>
      </w:r>
    </w:p>
    <w:p w14:paraId="79BACFDA">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十一、医疗卫生与计划生育（类）医疗保障（款）行政单位医疗（项）：指黄石港区妇联用于机关干部职工及离退休人员医疗方面的支出。</w:t>
      </w:r>
    </w:p>
    <w:p w14:paraId="363353E4">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25376F6E">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十三、年末结转和结余：指本年度或以前年度预算安排、因客观条件发生变化无法按原计划实施，需要延迟到以后年度按有关规定继续使用的资金。</w:t>
      </w:r>
    </w:p>
    <w:p w14:paraId="6728ECAD">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7A22AD14">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十五、项目支出：指在基本支出之外为完成特定行政任务和事业发展目标所发生的支出。</w:t>
      </w:r>
    </w:p>
    <w:p w14:paraId="42CCD525">
      <w:pPr>
        <w:pStyle w:val="7"/>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十六、“三公”经费：是指用财政拨款安排的因公出国（境）费、公务用车购置及运行维护费、公务接待费。</w:t>
      </w:r>
    </w:p>
    <w:p w14:paraId="6E04BF2A">
      <w:pPr>
        <w:rPr>
          <w:rFonts w:hint="eastAsia" w:asciiTheme="minorEastAsia" w:hAnsiTheme="minorEastAsia" w:eastAsiaTheme="minorEastAsia" w:cstheme="minorEastAsia"/>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EC7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544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44E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8BC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30F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763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EAA6F"/>
    <w:multiLevelType w:val="singleLevel"/>
    <w:tmpl w:val="51CEAA6F"/>
    <w:lvl w:ilvl="0" w:tentative="0">
      <w:start w:val="2"/>
      <w:numFmt w:val="chineseCounting"/>
      <w:suff w:val="nothing"/>
      <w:lvlText w:val="（%1）"/>
      <w:lvlJc w:val="left"/>
      <w:pPr>
        <w:ind w:left="2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D2"/>
    <w:rsid w:val="000802A7"/>
    <w:rsid w:val="00080D3B"/>
    <w:rsid w:val="000C4D80"/>
    <w:rsid w:val="00131190"/>
    <w:rsid w:val="00170DD2"/>
    <w:rsid w:val="00196C10"/>
    <w:rsid w:val="00197A58"/>
    <w:rsid w:val="00203A55"/>
    <w:rsid w:val="00253AE8"/>
    <w:rsid w:val="00317DE9"/>
    <w:rsid w:val="004F2605"/>
    <w:rsid w:val="0059077F"/>
    <w:rsid w:val="00746A94"/>
    <w:rsid w:val="007817E9"/>
    <w:rsid w:val="007F2B2B"/>
    <w:rsid w:val="0081133D"/>
    <w:rsid w:val="00826C35"/>
    <w:rsid w:val="00881634"/>
    <w:rsid w:val="008F2E79"/>
    <w:rsid w:val="00914803"/>
    <w:rsid w:val="009731EC"/>
    <w:rsid w:val="00A07FB6"/>
    <w:rsid w:val="00A73EB1"/>
    <w:rsid w:val="00AE0C19"/>
    <w:rsid w:val="00B3672D"/>
    <w:rsid w:val="00CA1FCA"/>
    <w:rsid w:val="00DD145B"/>
    <w:rsid w:val="00E602A3"/>
    <w:rsid w:val="00ED32C3"/>
    <w:rsid w:val="00EF7E83"/>
    <w:rsid w:val="00F225F2"/>
    <w:rsid w:val="00FB722C"/>
    <w:rsid w:val="0664587B"/>
    <w:rsid w:val="09FF39B4"/>
    <w:rsid w:val="0E622F5E"/>
    <w:rsid w:val="10157CA5"/>
    <w:rsid w:val="10253966"/>
    <w:rsid w:val="11411182"/>
    <w:rsid w:val="13FA6E94"/>
    <w:rsid w:val="1DA72E01"/>
    <w:rsid w:val="219E41B4"/>
    <w:rsid w:val="255E033E"/>
    <w:rsid w:val="27390172"/>
    <w:rsid w:val="2CCE2491"/>
    <w:rsid w:val="2F081AB6"/>
    <w:rsid w:val="401A2F36"/>
    <w:rsid w:val="457D21A1"/>
    <w:rsid w:val="507C1CF5"/>
    <w:rsid w:val="57193076"/>
    <w:rsid w:val="61773BFF"/>
    <w:rsid w:val="621B3808"/>
    <w:rsid w:val="67E4782B"/>
    <w:rsid w:val="6CF8312F"/>
    <w:rsid w:val="735F6AA0"/>
    <w:rsid w:val="746766E2"/>
    <w:rsid w:val="74EA7B66"/>
    <w:rsid w:val="78186405"/>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paragraph" w:customStyle="1" w:styleId="14">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5">
    <w:name w:val="ca-2"/>
    <w:basedOn w:val="9"/>
    <w:qFormat/>
    <w:uiPriority w:val="99"/>
    <w:rPr>
      <w:rFonts w:cs="Times New Roman"/>
    </w:rPr>
  </w:style>
  <w:style w:type="paragraph" w:customStyle="1" w:styleId="16">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7">
    <w:name w:val="ca-3"/>
    <w:basedOn w:val="9"/>
    <w:qFormat/>
    <w:uiPriority w:val="99"/>
    <w:rPr>
      <w:rFonts w:cs="Times New Roman"/>
    </w:rPr>
  </w:style>
  <w:style w:type="character" w:customStyle="1" w:styleId="18">
    <w:name w:val="apple-converted-space"/>
    <w:basedOn w:val="9"/>
    <w:qFormat/>
    <w:uiPriority w:val="99"/>
    <w:rPr>
      <w:rFonts w:cs="Times New Roman"/>
    </w:rPr>
  </w:style>
  <w:style w:type="paragraph" w:customStyle="1" w:styleId="19">
    <w:name w:val="pa-1"/>
    <w:basedOn w:val="1"/>
    <w:qFormat/>
    <w:uiPriority w:val="99"/>
    <w:pPr>
      <w:widowControl/>
      <w:spacing w:before="100" w:beforeAutospacing="1" w:after="100" w:afterAutospacing="1"/>
      <w:jc w:val="left"/>
    </w:pPr>
    <w:rPr>
      <w:rFonts w:ascii="宋体" w:hAnsi="宋体" w:cs="宋体"/>
      <w:kern w:val="0"/>
      <w:sz w:val="24"/>
    </w:rPr>
  </w:style>
  <w:style w:type="character" w:customStyle="1" w:styleId="20">
    <w:name w:val="Header Char"/>
    <w:basedOn w:val="9"/>
    <w:link w:val="6"/>
    <w:semiHidden/>
    <w:qFormat/>
    <w:locked/>
    <w:uiPriority w:val="99"/>
    <w:rPr>
      <w:rFonts w:ascii="Calibri" w:hAnsi="Calibri" w:cs="Times New Roman"/>
      <w:sz w:val="18"/>
      <w:szCs w:val="18"/>
    </w:rPr>
  </w:style>
  <w:style w:type="character" w:customStyle="1" w:styleId="21">
    <w:name w:val="Footer Char"/>
    <w:basedOn w:val="9"/>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16</Pages>
  <Words>2324</Words>
  <Characters>2473</Characters>
  <Lines>0</Lines>
  <Paragraphs>0</Paragraphs>
  <TotalTime>1</TotalTime>
  <ScaleCrop>false</ScaleCrop>
  <LinksUpToDate>false</LinksUpToDate>
  <CharactersWithSpaces>2489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2025-02-11T01:44:36Z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EC96281E467B42E396E0CA88F4AF434E_13</vt:lpwstr>
  </property>
</Properties>
</file>