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妇联</w:t>
      </w:r>
      <w:r>
        <w:rPr>
          <w:rFonts w:ascii="微软雅黑" w:hAnsi="微软雅黑" w:eastAsia="微软雅黑" w:cs="微软雅黑"/>
          <w:color w:val="BC1010"/>
          <w:sz w:val="40"/>
          <w:szCs w:val="40"/>
          <w:shd w:val="clear" w:color="auto" w:fill="FFFFFF"/>
        </w:rPr>
        <w:t>2021</w:t>
      </w:r>
      <w:r>
        <w:rPr>
          <w:rFonts w:hint="eastAsia" w:ascii="微软雅黑" w:hAnsi="微软雅黑" w:eastAsia="微软雅黑" w:cs="微软雅黑"/>
          <w:color w:val="BC1010"/>
          <w:sz w:val="40"/>
          <w:szCs w:val="40"/>
          <w:shd w:val="clear" w:color="auto" w:fill="FFFFFF"/>
        </w:rPr>
        <w:t>年决算公开</w:t>
      </w:r>
    </w:p>
    <w:p>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黄石港区妇联</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年决算公开</w:t>
      </w:r>
    </w:p>
    <w:p>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年部门决算表</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九、国有资本经营预算财政拨款支出决算表（表</w:t>
      </w:r>
      <w:r>
        <w:rPr>
          <w:rFonts w:ascii="微软雅黑" w:hAnsi="微软雅黑" w:eastAsia="微软雅黑" w:cs="微软雅黑"/>
          <w:color w:val="333333"/>
          <w:shd w:val="clear" w:color="auto" w:fill="FFFFFF"/>
        </w:rPr>
        <w:t>9</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80" w:firstLineChars="20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pPr>
        <w:pStyle w:val="7"/>
        <w:widowControl/>
        <w:spacing w:before="76" w:beforeAutospacing="0" w:after="76" w:afterAutospacing="0" w:line="450" w:lineRule="atLeast"/>
        <w:ind w:firstLine="240" w:firstLineChars="10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240" w:firstLineChars="10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240" w:firstLineChars="10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240" w:firstLineChars="100"/>
        <w:jc w:val="center"/>
        <w:rPr>
          <w:color w:val="333333"/>
        </w:rPr>
      </w:pP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w:t>
      </w:r>
    </w:p>
    <w:p>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部门基本情况</w:t>
      </w:r>
    </w:p>
    <w:p>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color w:val="333333"/>
          <w:kern w:val="0"/>
          <w:sz w:val="28"/>
          <w:szCs w:val="28"/>
        </w:rPr>
        <w:t>（</w:t>
      </w:r>
      <w:r>
        <w:rPr>
          <w:rFonts w:hint="eastAsia" w:ascii="宋体" w:hAnsi="宋体"/>
          <w:sz w:val="28"/>
          <w:szCs w:val="28"/>
        </w:rPr>
        <w:t>一）主要职责</w:t>
      </w:r>
    </w:p>
    <w:p>
      <w:pPr>
        <w:spacing w:line="620" w:lineRule="exact"/>
        <w:rPr>
          <w:rFonts w:ascii="宋体" w:cs="宋体"/>
          <w:kern w:val="0"/>
          <w:sz w:val="28"/>
          <w:szCs w:val="28"/>
        </w:rPr>
      </w:pPr>
      <w:r>
        <w:rPr>
          <w:rFonts w:ascii="宋体" w:hAnsi="宋体" w:cs="宋体"/>
          <w:kern w:val="0"/>
          <w:sz w:val="28"/>
          <w:szCs w:val="28"/>
          <w:lang w:val="zh-CN"/>
        </w:rPr>
        <w:t xml:space="preserve">    </w:t>
      </w:r>
      <w:r>
        <w:rPr>
          <w:rFonts w:hint="eastAsia" w:ascii="宋体" w:hAnsi="宋体" w:cs="宋体"/>
          <w:kern w:val="0"/>
          <w:sz w:val="28"/>
          <w:szCs w:val="28"/>
        </w:rPr>
        <w:t>黄石市黄石港区妇女联合会</w:t>
      </w:r>
      <w:r>
        <w:rPr>
          <w:rFonts w:hint="eastAsia" w:ascii="宋体" w:hAnsi="宋体"/>
          <w:sz w:val="28"/>
          <w:szCs w:val="28"/>
        </w:rPr>
        <w:t>位于黄石市磁湖路</w:t>
      </w:r>
      <w:r>
        <w:rPr>
          <w:rFonts w:ascii="宋体" w:hAnsi="宋体"/>
          <w:sz w:val="28"/>
          <w:szCs w:val="28"/>
        </w:rPr>
        <w:t>180</w:t>
      </w:r>
      <w:r>
        <w:rPr>
          <w:rFonts w:hint="eastAsia" w:ascii="宋体" w:hAnsi="宋体"/>
          <w:sz w:val="28"/>
          <w:szCs w:val="28"/>
        </w:rPr>
        <w:t>号，</w:t>
      </w:r>
      <w:r>
        <w:rPr>
          <w:rFonts w:hint="eastAsia" w:ascii="宋体" w:hAnsi="宋体" w:cs="宋体"/>
          <w:kern w:val="0"/>
          <w:sz w:val="28"/>
          <w:szCs w:val="28"/>
        </w:rPr>
        <w:t>是黄石港区各族各界妇女为争取进一步解放而联合起来的社会群众团体。主要工作任务是根据党的中心任务，指导全区各级妇联依据《中华全国妇女联合会章程》和妇女代表大会的决议，开展妇女儿童工作；联系团体会员，并给予业务指导；调查研究全区不同地区妇女和儿童的情况、问题，及时向区委和区政府反映，提出建议；团结、动员妇女投身改革开放和社会主义观代化建设，促进区域经济发展和社会全面进步；教育、引导广大妇女，增强自尊、自信、自立、自强精神，全面提高素质，促进妇女人才成长；代表妇女参与国家和社会事务的民主管理、民主监督，参与有关妇女儿童法律、法规、规章的制定和实施工作，维护妇女儿童合法权益；为妇女儿童服务；加强与社会各界的联系，协调和推动社会各界为妇女儿童办实事、办好事；开展全区妇女的统战工作，加强同港澳台地区及华侨妇女的联谊；组织开展我区与各界妇女的友好交往活动。</w:t>
      </w:r>
      <w:r>
        <w:rPr>
          <w:rFonts w:ascii="宋体" w:cs="宋体"/>
          <w:kern w:val="0"/>
          <w:sz w:val="28"/>
          <w:szCs w:val="28"/>
        </w:rPr>
        <w:t> </w:t>
      </w:r>
    </w:p>
    <w:p>
      <w:pPr>
        <w:numPr>
          <w:ilvl w:val="0"/>
          <w:numId w:val="1"/>
        </w:numPr>
        <w:spacing w:line="620" w:lineRule="exact"/>
        <w:rPr>
          <w:rFonts w:ascii="宋体"/>
          <w:sz w:val="28"/>
          <w:szCs w:val="28"/>
        </w:rPr>
      </w:pPr>
      <w:r>
        <w:rPr>
          <w:rFonts w:hint="eastAsia" w:ascii="宋体" w:hAnsi="宋体"/>
          <w:sz w:val="28"/>
          <w:szCs w:val="28"/>
        </w:rPr>
        <w:t>机构设置：</w:t>
      </w:r>
    </w:p>
    <w:p>
      <w:pPr>
        <w:spacing w:line="620" w:lineRule="exact"/>
        <w:ind w:firstLine="560" w:firstLineChars="200"/>
        <w:rPr>
          <w:rFonts w:ascii="宋体" w:cs="宋体"/>
          <w:kern w:val="0"/>
          <w:sz w:val="28"/>
          <w:szCs w:val="28"/>
        </w:rPr>
      </w:pPr>
      <w:r>
        <w:rPr>
          <w:rFonts w:hint="eastAsia" w:ascii="宋体" w:hAnsi="宋体" w:cs="宋体"/>
          <w:kern w:val="0"/>
          <w:sz w:val="28"/>
          <w:szCs w:val="28"/>
        </w:rPr>
        <w:t>下设办公室。</w:t>
      </w:r>
    </w:p>
    <w:p>
      <w:pPr>
        <w:shd w:val="clear" w:color="auto" w:fill="FFFFFF"/>
        <w:spacing w:line="560" w:lineRule="atLeast"/>
        <w:ind w:firstLine="560"/>
        <w:rPr>
          <w:rFonts w:ascii="宋体" w:cs="宋体"/>
          <w:sz w:val="28"/>
          <w:szCs w:val="28"/>
        </w:rPr>
      </w:pPr>
      <w:r>
        <w:rPr>
          <w:rFonts w:hint="eastAsia" w:ascii="仿宋_GB2312" w:hAnsi="宋体" w:eastAsia="仿宋_GB2312" w:cs="宋体"/>
          <w:sz w:val="32"/>
          <w:szCs w:val="32"/>
        </w:rPr>
        <w:t>（三）</w:t>
      </w:r>
      <w:r>
        <w:rPr>
          <w:rFonts w:hint="eastAsia" w:ascii="宋体" w:hAnsi="宋体" w:cs="宋体"/>
          <w:sz w:val="28"/>
          <w:szCs w:val="28"/>
        </w:rPr>
        <w:t>人员情况</w:t>
      </w:r>
    </w:p>
    <w:p>
      <w:pPr>
        <w:ind w:firstLine="480"/>
        <w:rPr>
          <w:rFonts w:ascii="宋体" w:cs="宋体"/>
          <w:color w:val="333333"/>
          <w:kern w:val="0"/>
          <w:sz w:val="28"/>
          <w:szCs w:val="28"/>
        </w:rPr>
      </w:pPr>
      <w:r>
        <w:rPr>
          <w:rFonts w:hint="eastAsia" w:ascii="宋体" w:hAnsi="宋体" w:cs="仿宋"/>
          <w:color w:val="000000"/>
          <w:sz w:val="28"/>
          <w:szCs w:val="28"/>
        </w:rPr>
        <w:t>本部门年末实有人数</w:t>
      </w:r>
      <w:r>
        <w:rPr>
          <w:rFonts w:ascii="宋体" w:hAnsi="宋体" w:cs="仿宋"/>
          <w:color w:val="000000"/>
          <w:sz w:val="28"/>
          <w:szCs w:val="28"/>
        </w:rPr>
        <w:t>2</w:t>
      </w:r>
      <w:r>
        <w:rPr>
          <w:rFonts w:hint="eastAsia" w:ascii="宋体" w:hAnsi="宋体" w:cs="仿宋"/>
          <w:color w:val="000000"/>
          <w:sz w:val="28"/>
          <w:szCs w:val="28"/>
        </w:rPr>
        <w:t>人，与去年末</w:t>
      </w:r>
      <w:r>
        <w:rPr>
          <w:rFonts w:ascii="宋体" w:hAnsi="宋体" w:cs="仿宋"/>
          <w:color w:val="000000"/>
          <w:sz w:val="28"/>
          <w:szCs w:val="28"/>
        </w:rPr>
        <w:t>1</w:t>
      </w:r>
      <w:r>
        <w:rPr>
          <w:rFonts w:hint="eastAsia" w:ascii="宋体" w:hAnsi="宋体" w:cs="仿宋"/>
          <w:color w:val="000000"/>
          <w:sz w:val="28"/>
          <w:szCs w:val="28"/>
        </w:rPr>
        <w:t>人相比增加</w:t>
      </w:r>
      <w:r>
        <w:rPr>
          <w:rFonts w:ascii="宋体" w:hAnsi="宋体" w:cs="仿宋"/>
          <w:color w:val="000000"/>
          <w:sz w:val="28"/>
          <w:szCs w:val="28"/>
        </w:rPr>
        <w:t>1</w:t>
      </w:r>
      <w:r>
        <w:rPr>
          <w:rFonts w:hint="eastAsia" w:ascii="宋体" w:hAnsi="宋体" w:cs="仿宋"/>
          <w:color w:val="000000"/>
          <w:sz w:val="28"/>
          <w:szCs w:val="28"/>
        </w:rPr>
        <w:t>人。</w:t>
      </w:r>
    </w:p>
    <w:p>
      <w:pPr>
        <w:pStyle w:val="7"/>
        <w:widowControl/>
        <w:numPr>
          <w:ilvl w:val="0"/>
          <w:numId w:val="2"/>
        </w:numPr>
        <w:spacing w:before="76" w:beforeAutospacing="0" w:after="76" w:afterAutospacing="0" w:line="450" w:lineRule="atLeast"/>
        <w:ind w:firstLine="420"/>
      </w:pPr>
      <w:r>
        <w:rPr>
          <w:rStyle w:val="10"/>
          <w:rFonts w:ascii="微软雅黑" w:hAnsi="微软雅黑" w:eastAsia="微软雅黑" w:cs="微软雅黑"/>
          <w:color w:val="333333"/>
          <w:shd w:val="clear" w:color="auto" w:fill="FFFFFF"/>
        </w:rPr>
        <w:br w:type="page"/>
      </w:r>
      <w:r>
        <w:rPr>
          <w:rStyle w:val="10"/>
          <w:rFonts w:hint="eastAsia" w:ascii="微软雅黑" w:hAnsi="微软雅黑" w:eastAsia="微软雅黑" w:cs="微软雅黑"/>
          <w:color w:val="333333"/>
          <w:shd w:val="clear" w:color="auto" w:fill="FFFFFF"/>
        </w:rPr>
        <w:t>部门</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年部门决算表</w:t>
      </w:r>
    </w:p>
    <w:p>
      <w:pPr>
        <w:pStyle w:val="7"/>
        <w:widowControl/>
        <w:spacing w:before="76" w:beforeAutospacing="0" w:after="76" w:afterAutospacing="0" w:line="450" w:lineRule="atLeast"/>
      </w:pPr>
      <w:r>
        <w:pict>
          <v:shape id="_x0000_i1025" o:spt="75" type="#_x0000_t75" style="height:381pt;width:588pt;" filled="f" o:preferrelative="t" stroked="f" coordsize="21600,21600">
            <v:path/>
            <v:fill on="f" focussize="0,0"/>
            <v:stroke on="f" joinstyle="miter"/>
            <v:imagedata r:id="rId10" o:title=""/>
            <o:lock v:ext="edit" aspectratio="t"/>
            <w10:wrap type="none"/>
            <w10:anchorlock/>
          </v:shape>
        </w:pict>
      </w:r>
    </w:p>
    <w:p>
      <w:pPr>
        <w:pStyle w:val="7"/>
        <w:widowControl/>
        <w:spacing w:before="76" w:beforeAutospacing="0" w:after="76" w:afterAutospacing="0" w:line="450" w:lineRule="atLeast"/>
      </w:pPr>
      <w:r>
        <w:pict>
          <v:shape id="_x0000_i1026" o:spt="75" type="#_x0000_t75" style="height:153.75pt;width:693.75pt;" filled="f" o:preferrelative="t" stroked="f" coordsize="21600,21600">
            <v:path/>
            <v:fill on="f" focussize="0,0"/>
            <v:stroke on="f" joinstyle="miter"/>
            <v:imagedata r:id="rId11" o:title=""/>
            <o:lock v:ext="edit" aspectratio="t"/>
            <w10:wrap type="none"/>
            <w10:anchorlock/>
          </v:shape>
        </w:pict>
      </w: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r>
        <w:pict>
          <v:shape id="_x0000_i1027" o:spt="75" type="#_x0000_t75" style="height:176.25pt;width:693.75pt;" filled="f" o:preferrelative="t" stroked="f" coordsize="21600,21600">
            <v:path/>
            <v:fill on="f" focussize="0,0"/>
            <v:stroke on="f" joinstyle="miter"/>
            <v:imagedata r:id="rId12" o:title=""/>
            <o:lock v:ext="edit" aspectratio="t"/>
            <w10:wrap type="none"/>
            <w10:anchorlock/>
          </v:shape>
        </w:pict>
      </w:r>
    </w:p>
    <w:p>
      <w:pPr>
        <w:pStyle w:val="7"/>
        <w:widowControl/>
        <w:spacing w:before="76" w:beforeAutospacing="0" w:after="76" w:afterAutospacing="0" w:line="450" w:lineRule="atLeast"/>
      </w:pPr>
      <w:r>
        <w:pict>
          <v:shape id="_x0000_i1028" o:spt="75" type="#_x0000_t75" style="height:406.5pt;width:594pt;" filled="f" o:preferrelative="t" stroked="f" coordsize="21600,21600">
            <v:path/>
            <v:fill on="f" focussize="0,0"/>
            <v:stroke on="f" joinstyle="miter"/>
            <v:imagedata r:id="rId13" o:title=""/>
            <o:lock v:ext="edit" aspectratio="t"/>
            <w10:wrap type="none"/>
            <w10:anchorlock/>
          </v:shape>
        </w:pict>
      </w:r>
    </w:p>
    <w:p>
      <w:pPr>
        <w:pStyle w:val="7"/>
        <w:widowControl/>
        <w:spacing w:before="76" w:beforeAutospacing="0" w:after="76" w:afterAutospacing="0" w:line="450" w:lineRule="atLeast"/>
      </w:pPr>
    </w:p>
    <w:p>
      <w:pPr>
        <w:pStyle w:val="7"/>
        <w:widowControl/>
        <w:spacing w:before="76" w:beforeAutospacing="0" w:after="76" w:afterAutospacing="0" w:line="450" w:lineRule="atLeast"/>
      </w:pPr>
      <w:r>
        <w:pict>
          <v:shape id="_x0000_i1029" o:spt="75" type="#_x0000_t75" style="height:188.25pt;width:695.25pt;" filled="f" o:preferrelative="t" stroked="f" coordsize="21600,21600">
            <v:path/>
            <v:fill on="f" focussize="0,0"/>
            <v:stroke on="f" joinstyle="miter"/>
            <v:imagedata r:id="rId14" o:title=""/>
            <o:lock v:ext="edit" aspectratio="t"/>
            <w10:wrap type="none"/>
            <w10:anchorlock/>
          </v:shape>
        </w:pict>
      </w: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r>
        <w:pict>
          <v:shape id="_x0000_i1030" o:spt="75" type="#_x0000_t75" style="height:406.5pt;width:697.5pt;" filled="f" o:preferrelative="t" stroked="f" coordsize="21600,21600">
            <v:path/>
            <v:fill on="f" focussize="0,0"/>
            <v:stroke on="f" joinstyle="miter"/>
            <v:imagedata r:id="rId15" o:title=""/>
            <o:lock v:ext="edit" aspectratio="t"/>
            <w10:wrap type="none"/>
            <w10:anchorlock/>
          </v:shape>
        </w:pict>
      </w:r>
    </w:p>
    <w:p>
      <w:pPr>
        <w:pStyle w:val="7"/>
        <w:widowControl/>
        <w:spacing w:before="76" w:beforeAutospacing="0" w:after="76" w:afterAutospacing="0" w:line="450" w:lineRule="atLeast"/>
      </w:pPr>
    </w:p>
    <w:p>
      <w:pPr>
        <w:pStyle w:val="7"/>
        <w:widowControl/>
        <w:spacing w:before="76" w:beforeAutospacing="0" w:after="76" w:afterAutospacing="0" w:line="450" w:lineRule="atLeast"/>
      </w:pPr>
      <w:r>
        <w:pict>
          <v:shape id="_x0000_i1031" o:spt="75" type="#_x0000_t75" style="height:133.5pt;width:695.25pt;" filled="f" o:preferrelative="t" stroked="f" coordsize="21600,21600">
            <v:path/>
            <v:fill on="f" focussize="0,0"/>
            <v:stroke on="f" joinstyle="miter"/>
            <v:imagedata r:id="rId16" o:title=""/>
            <o:lock v:ext="edit" aspectratio="t"/>
            <w10:wrap type="none"/>
            <w10:anchorlock/>
          </v:shape>
        </w:pict>
      </w:r>
    </w:p>
    <w:p/>
    <w:p/>
    <w:p/>
    <w:p/>
    <w:tbl>
      <w:tblPr>
        <w:tblStyle w:val="8"/>
        <w:tblW w:w="0" w:type="auto"/>
        <w:jc w:val="center"/>
        <w:tblLayout w:type="autofit"/>
        <w:tblCellMar>
          <w:top w:w="0" w:type="dxa"/>
          <w:left w:w="108" w:type="dxa"/>
          <w:bottom w:w="0" w:type="dxa"/>
          <w:right w:w="108" w:type="dxa"/>
        </w:tblCellMar>
      </w:tblPr>
      <w:tblGrid>
        <w:gridCol w:w="3516"/>
        <w:gridCol w:w="222"/>
        <w:gridCol w:w="222"/>
        <w:gridCol w:w="1016"/>
        <w:gridCol w:w="1616"/>
        <w:gridCol w:w="1016"/>
        <w:gridCol w:w="616"/>
        <w:gridCol w:w="1016"/>
        <w:gridCol w:w="1016"/>
        <w:gridCol w:w="1756"/>
      </w:tblGrid>
      <w:tr>
        <w:tblPrEx>
          <w:tblCellMar>
            <w:top w:w="0" w:type="dxa"/>
            <w:left w:w="108" w:type="dxa"/>
            <w:bottom w:w="0" w:type="dxa"/>
            <w:right w:w="108" w:type="dxa"/>
          </w:tblCellMar>
        </w:tblPrEx>
        <w:trPr>
          <w:trHeight w:val="375" w:hRule="atLeast"/>
          <w:jc w:val="center"/>
        </w:trPr>
        <w:tc>
          <w:tcPr>
            <w:tcW w:w="0" w:type="auto"/>
            <w:gridSpan w:val="10"/>
            <w:tcBorders>
              <w:top w:val="nil"/>
              <w:left w:val="nil"/>
              <w:bottom w:val="nil"/>
              <w:right w:val="nil"/>
            </w:tcBorders>
            <w:shd w:val="clear" w:color="auto" w:fill="FFFFFF"/>
            <w:noWrap/>
            <w:vAlign w:val="center"/>
          </w:tcPr>
          <w:p>
            <w:pPr>
              <w:jc w:val="center"/>
              <w:rPr>
                <w:rFonts w:ascii="宋体" w:cs="宋体"/>
                <w:color w:val="000000"/>
                <w:sz w:val="18"/>
                <w:szCs w:val="18"/>
              </w:rPr>
            </w:pPr>
            <w:r>
              <w:rPr>
                <w:rFonts w:hint="eastAsia" w:ascii="黑体" w:hAnsi="宋体" w:eastAsia="黑体" w:cs="黑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08</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部门：黄石市黄石港区妇女联合会</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0" w:type="auto"/>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0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FFFFFF"/>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r>
              <w:rPr>
                <w:rFonts w:hint="eastAsia" w:ascii="宋体" w:hAnsi="宋体" w:cs="仿宋"/>
                <w:sz w:val="20"/>
                <w:szCs w:val="20"/>
              </w:rPr>
              <w:t>我部门无此项内容，本表无数据。</w:t>
            </w:r>
          </w:p>
        </w:tc>
      </w:tr>
    </w:tbl>
    <w:p>
      <w:pPr>
        <w:pStyle w:val="22"/>
        <w:spacing w:before="76" w:beforeAutospacing="0" w:after="76" w:afterAutospacing="0" w:line="450" w:lineRule="atLeast"/>
        <w:jc w:val="both"/>
      </w:pPr>
    </w:p>
    <w:tbl>
      <w:tblPr>
        <w:tblStyle w:val="8"/>
        <w:tblW w:w="12200" w:type="dxa"/>
        <w:jc w:val="center"/>
        <w:tblLayout w:type="autofit"/>
        <w:tblCellMar>
          <w:top w:w="0" w:type="dxa"/>
          <w:left w:w="108" w:type="dxa"/>
          <w:bottom w:w="0" w:type="dxa"/>
          <w:right w:w="108" w:type="dxa"/>
        </w:tblCellMar>
      </w:tblPr>
      <w:tblGrid>
        <w:gridCol w:w="3884"/>
        <w:gridCol w:w="245"/>
        <w:gridCol w:w="245"/>
        <w:gridCol w:w="1271"/>
        <w:gridCol w:w="2079"/>
        <w:gridCol w:w="1318"/>
        <w:gridCol w:w="3158"/>
      </w:tblGrid>
      <w:tr>
        <w:tblPrEx>
          <w:tblCellMar>
            <w:top w:w="0" w:type="dxa"/>
            <w:left w:w="108" w:type="dxa"/>
            <w:bottom w:w="0" w:type="dxa"/>
            <w:right w:w="108" w:type="dxa"/>
          </w:tblCellMar>
        </w:tblPrEx>
        <w:trPr>
          <w:trHeight w:val="404" w:hRule="atLeast"/>
          <w:jc w:val="center"/>
        </w:trPr>
        <w:tc>
          <w:tcPr>
            <w:tcW w:w="12200" w:type="dxa"/>
            <w:gridSpan w:val="7"/>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1882" w:type="dxa"/>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1193" w:type="dxa"/>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2859" w:type="dxa"/>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12" w:hRule="atLeast"/>
          <w:jc w:val="center"/>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部门：黄石市黄石港区妇女联合会</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1882" w:type="dxa"/>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1193" w:type="dxa"/>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2859" w:type="dxa"/>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5934"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trHeight w:val="333" w:hRule="atLeast"/>
          <w:jc w:val="center"/>
        </w:trPr>
        <w:tc>
          <w:tcPr>
            <w:tcW w:w="485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88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193"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285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333" w:hRule="atLeast"/>
          <w:jc w:val="center"/>
        </w:trPr>
        <w:tc>
          <w:tcPr>
            <w:tcW w:w="485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8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193"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285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3" w:hRule="atLeast"/>
          <w:jc w:val="center"/>
        </w:trPr>
        <w:tc>
          <w:tcPr>
            <w:tcW w:w="485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8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193"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285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882"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193"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2859"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1882" w:type="dxa"/>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1193" w:type="dxa"/>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2859" w:type="dxa"/>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33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1882" w:type="dxa"/>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1193" w:type="dxa"/>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2859" w:type="dxa"/>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33" w:hRule="atLeast"/>
          <w:jc w:val="center"/>
        </w:trPr>
        <w:tc>
          <w:tcPr>
            <w:tcW w:w="0" w:type="auto"/>
            <w:gridSpan w:val="7"/>
            <w:tcBorders>
              <w:top w:val="nil"/>
              <w:left w:val="nil"/>
              <w:bottom w:val="nil"/>
              <w:right w:val="nil"/>
            </w:tcBorders>
            <w:shd w:val="clear" w:color="auto" w:fill="FFFFFF"/>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注：本表反映部门本年度国有资本经营预算财政拨款支出情况。</w:t>
            </w:r>
            <w:r>
              <w:rPr>
                <w:rFonts w:hint="eastAsia" w:ascii="宋体" w:hAnsi="宋体" w:cs="仿宋"/>
                <w:sz w:val="20"/>
                <w:szCs w:val="20"/>
              </w:rPr>
              <w:t>我部门无此项内容，本表无数据。</w:t>
            </w:r>
          </w:p>
        </w:tc>
      </w:tr>
    </w:tbl>
    <w:p/>
    <w:p/>
    <w:p>
      <w:pPr>
        <w:tabs>
          <w:tab w:val="left" w:pos="1020"/>
        </w:tabs>
      </w:pPr>
      <w:r>
        <w:tab/>
      </w:r>
    </w:p>
    <w:p/>
    <w:p>
      <w:p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linePitch="312" w:charSpace="0"/>
        </w:sectPr>
      </w:pPr>
    </w:p>
    <w:p>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2021</w:t>
      </w:r>
      <w:r>
        <w:rPr>
          <w:rStyle w:val="10"/>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b/>
          <w:sz w:val="28"/>
          <w:szCs w:val="28"/>
          <w:shd w:val="clear" w:color="auto" w:fill="FFFFFF"/>
        </w:rPr>
        <w:t>（一）预算执行情况分析</w:t>
      </w:r>
    </w:p>
    <w:p>
      <w:pPr>
        <w:shd w:val="clear" w:color="auto" w:fill="FFFFFF"/>
        <w:snapToGrid w:val="0"/>
        <w:spacing w:line="560" w:lineRule="atLeast"/>
        <w:ind w:firstLine="560" w:firstLineChars="200"/>
        <w:rPr>
          <w:rFonts w:ascii="宋体" w:cs="宋体"/>
          <w:color w:val="333333"/>
          <w:sz w:val="28"/>
          <w:szCs w:val="28"/>
        </w:rPr>
      </w:pPr>
      <w:r>
        <w:rPr>
          <w:rFonts w:ascii="宋体" w:hAnsi="宋体"/>
          <w:sz w:val="28"/>
          <w:szCs w:val="28"/>
        </w:rPr>
        <w:t>2021</w:t>
      </w:r>
      <w:r>
        <w:rPr>
          <w:rFonts w:hint="eastAsia" w:ascii="宋体" w:hAnsi="宋体"/>
          <w:sz w:val="28"/>
          <w:szCs w:val="28"/>
        </w:rPr>
        <w:t>年度财政收入预算数</w:t>
      </w:r>
      <w:r>
        <w:rPr>
          <w:rFonts w:ascii="宋体" w:hAnsi="宋体"/>
          <w:sz w:val="28"/>
          <w:szCs w:val="28"/>
        </w:rPr>
        <w:t>26.56</w:t>
      </w:r>
      <w:r>
        <w:rPr>
          <w:rFonts w:hint="eastAsia" w:ascii="宋体" w:hAnsi="宋体"/>
          <w:sz w:val="28"/>
          <w:szCs w:val="28"/>
        </w:rPr>
        <w:t>万元，其中人员经费</w:t>
      </w:r>
      <w:r>
        <w:rPr>
          <w:rFonts w:ascii="宋体" w:hAnsi="宋体"/>
          <w:sz w:val="28"/>
          <w:szCs w:val="28"/>
        </w:rPr>
        <w:t>17.29</w:t>
      </w:r>
      <w:r>
        <w:rPr>
          <w:rFonts w:hint="eastAsia" w:ascii="宋体" w:hAnsi="宋体"/>
          <w:sz w:val="28"/>
          <w:szCs w:val="28"/>
        </w:rPr>
        <w:t>万元，公用经费</w:t>
      </w:r>
      <w:r>
        <w:rPr>
          <w:rFonts w:ascii="宋体" w:hAnsi="宋体"/>
          <w:sz w:val="28"/>
          <w:szCs w:val="28"/>
        </w:rPr>
        <w:t>9.27</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年度财政支出预算数</w:t>
      </w:r>
      <w:r>
        <w:rPr>
          <w:rFonts w:ascii="宋体" w:hAnsi="宋体"/>
          <w:sz w:val="28"/>
          <w:szCs w:val="28"/>
        </w:rPr>
        <w:t>26.56</w:t>
      </w:r>
      <w:r>
        <w:rPr>
          <w:rFonts w:hint="eastAsia" w:ascii="宋体" w:hAnsi="宋体"/>
          <w:sz w:val="28"/>
          <w:szCs w:val="28"/>
        </w:rPr>
        <w:t>万元，其中人员经费</w:t>
      </w:r>
      <w:r>
        <w:rPr>
          <w:rFonts w:ascii="宋体" w:hAnsi="宋体"/>
          <w:sz w:val="28"/>
          <w:szCs w:val="28"/>
        </w:rPr>
        <w:t>17.29</w:t>
      </w:r>
      <w:r>
        <w:rPr>
          <w:rFonts w:hint="eastAsia" w:ascii="宋体" w:hAnsi="宋体"/>
          <w:sz w:val="28"/>
          <w:szCs w:val="28"/>
        </w:rPr>
        <w:t>万元，公用经费</w:t>
      </w:r>
      <w:r>
        <w:rPr>
          <w:rFonts w:ascii="宋体" w:hAnsi="宋体"/>
          <w:sz w:val="28"/>
          <w:szCs w:val="28"/>
        </w:rPr>
        <w:t>9.27</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年度财政收入预算数</w:t>
      </w:r>
      <w:r>
        <w:rPr>
          <w:rFonts w:ascii="宋体" w:hAnsi="宋体"/>
          <w:sz w:val="28"/>
          <w:szCs w:val="28"/>
        </w:rPr>
        <w:t>17.79</w:t>
      </w:r>
      <w:r>
        <w:rPr>
          <w:rFonts w:hint="eastAsia" w:ascii="宋体" w:hAnsi="宋体"/>
          <w:sz w:val="28"/>
          <w:szCs w:val="28"/>
        </w:rPr>
        <w:t>万元，其中人员经费</w:t>
      </w:r>
      <w:r>
        <w:rPr>
          <w:rFonts w:ascii="宋体" w:hAnsi="宋体"/>
          <w:sz w:val="28"/>
          <w:szCs w:val="28"/>
        </w:rPr>
        <w:t>9.74</w:t>
      </w:r>
      <w:r>
        <w:rPr>
          <w:rFonts w:hint="eastAsia" w:ascii="宋体" w:hAnsi="宋体"/>
          <w:sz w:val="28"/>
          <w:szCs w:val="28"/>
        </w:rPr>
        <w:t>万元，公用经费</w:t>
      </w:r>
      <w:r>
        <w:rPr>
          <w:rFonts w:ascii="宋体" w:hAnsi="宋体"/>
          <w:sz w:val="28"/>
          <w:szCs w:val="28"/>
        </w:rPr>
        <w:t>8.05</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年度财政支出预算数</w:t>
      </w:r>
      <w:r>
        <w:rPr>
          <w:rFonts w:ascii="宋体" w:hAnsi="宋体"/>
          <w:sz w:val="28"/>
          <w:szCs w:val="28"/>
        </w:rPr>
        <w:t>17.79</w:t>
      </w:r>
      <w:r>
        <w:rPr>
          <w:rFonts w:hint="eastAsia" w:ascii="宋体" w:hAnsi="宋体"/>
          <w:sz w:val="28"/>
          <w:szCs w:val="28"/>
        </w:rPr>
        <w:t>万元，其中人员经费</w:t>
      </w:r>
      <w:r>
        <w:rPr>
          <w:rFonts w:ascii="宋体" w:hAnsi="宋体"/>
          <w:sz w:val="28"/>
          <w:szCs w:val="28"/>
        </w:rPr>
        <w:t>9.74</w:t>
      </w:r>
      <w:r>
        <w:rPr>
          <w:rFonts w:hint="eastAsia" w:ascii="宋体" w:hAnsi="宋体"/>
          <w:sz w:val="28"/>
          <w:szCs w:val="28"/>
        </w:rPr>
        <w:t>万元，公用经费</w:t>
      </w:r>
      <w:r>
        <w:rPr>
          <w:rFonts w:ascii="宋体" w:hAnsi="宋体"/>
          <w:sz w:val="28"/>
          <w:szCs w:val="28"/>
        </w:rPr>
        <w:t>8.05</w:t>
      </w:r>
      <w:r>
        <w:rPr>
          <w:rFonts w:hint="eastAsia" w:ascii="宋体" w:hAnsi="宋体"/>
          <w:sz w:val="28"/>
          <w:szCs w:val="28"/>
        </w:rPr>
        <w:t>万元。</w:t>
      </w:r>
      <w:r>
        <w:rPr>
          <w:rFonts w:ascii="宋体" w:hAnsi="宋体"/>
          <w:sz w:val="28"/>
          <w:szCs w:val="28"/>
        </w:rPr>
        <w:t>2021</w:t>
      </w:r>
      <w:r>
        <w:rPr>
          <w:rFonts w:hint="eastAsia" w:ascii="宋体" w:hAnsi="宋体"/>
          <w:sz w:val="28"/>
          <w:szCs w:val="28"/>
        </w:rPr>
        <w:t>年收入预算数比上年增加</w:t>
      </w:r>
      <w:r>
        <w:rPr>
          <w:rFonts w:ascii="宋体" w:hAnsi="宋体"/>
          <w:sz w:val="28"/>
          <w:szCs w:val="28"/>
        </w:rPr>
        <w:t>8.77</w:t>
      </w:r>
      <w:r>
        <w:rPr>
          <w:rFonts w:hint="eastAsia" w:ascii="宋体" w:hAnsi="宋体"/>
          <w:sz w:val="28"/>
          <w:szCs w:val="28"/>
        </w:rPr>
        <w:t>万元，</w:t>
      </w:r>
      <w:r>
        <w:rPr>
          <w:rFonts w:ascii="宋体" w:hAnsi="宋体"/>
          <w:sz w:val="28"/>
          <w:szCs w:val="28"/>
        </w:rPr>
        <w:t>2021</w:t>
      </w:r>
      <w:r>
        <w:rPr>
          <w:rFonts w:hint="eastAsia" w:ascii="宋体" w:hAnsi="宋体"/>
          <w:sz w:val="28"/>
          <w:szCs w:val="28"/>
        </w:rPr>
        <w:t>支出预算数比上年增加</w:t>
      </w:r>
      <w:r>
        <w:rPr>
          <w:rFonts w:ascii="宋体" w:hAnsi="宋体"/>
          <w:sz w:val="28"/>
          <w:szCs w:val="28"/>
        </w:rPr>
        <w:t>8.77</w:t>
      </w:r>
      <w:r>
        <w:rPr>
          <w:rFonts w:hint="eastAsia" w:ascii="宋体" w:hAnsi="宋体"/>
          <w:sz w:val="28"/>
          <w:szCs w:val="28"/>
        </w:rPr>
        <w:t>万元。</w:t>
      </w:r>
    </w:p>
    <w:p>
      <w:pPr>
        <w:shd w:val="clear" w:color="auto" w:fill="FFFFFF"/>
        <w:snapToGrid w:val="0"/>
        <w:spacing w:line="560" w:lineRule="atLeast"/>
        <w:ind w:firstLine="560" w:firstLineChars="200"/>
        <w:rPr>
          <w:rFonts w:hint="eastAsia" w:ascii="宋体" w:hAnsi="宋体" w:eastAsia="宋体"/>
          <w:sz w:val="28"/>
          <w:szCs w:val="28"/>
          <w:lang w:eastAsia="zh-CN"/>
        </w:rPr>
      </w:pPr>
    </w:p>
    <w:p>
      <w:pPr>
        <w:shd w:val="clear" w:color="auto" w:fill="FFFFFF"/>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、收入与预算对比分析</w:t>
      </w:r>
    </w:p>
    <w:p>
      <w:pPr>
        <w:shd w:val="clear" w:color="auto" w:fill="FFFFFF"/>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47.52</w:t>
      </w:r>
      <w:r>
        <w:rPr>
          <w:rFonts w:hint="eastAsia" w:ascii="宋体" w:hAnsi="宋体"/>
          <w:sz w:val="28"/>
          <w:szCs w:val="28"/>
        </w:rPr>
        <w:t>万元。其中财政决算收入</w:t>
      </w:r>
      <w:r>
        <w:rPr>
          <w:rFonts w:ascii="宋体" w:hAnsi="宋体"/>
          <w:sz w:val="28"/>
          <w:szCs w:val="28"/>
        </w:rPr>
        <w:t>44.47</w:t>
      </w:r>
      <w:r>
        <w:rPr>
          <w:rFonts w:hint="eastAsia" w:ascii="宋体" w:hAnsi="宋体"/>
          <w:sz w:val="28"/>
          <w:szCs w:val="28"/>
        </w:rPr>
        <w:t>万元，其他收入</w:t>
      </w:r>
      <w:r>
        <w:rPr>
          <w:rFonts w:ascii="宋体" w:hAnsi="宋体"/>
          <w:sz w:val="28"/>
          <w:szCs w:val="28"/>
        </w:rPr>
        <w:t>3.05</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47.52</w:t>
      </w:r>
      <w:r>
        <w:rPr>
          <w:rFonts w:hint="eastAsia" w:ascii="宋体" w:hAnsi="宋体"/>
          <w:sz w:val="28"/>
          <w:szCs w:val="28"/>
        </w:rPr>
        <w:t>万元，其中财政决算支出</w:t>
      </w:r>
      <w:r>
        <w:rPr>
          <w:rFonts w:ascii="宋体" w:hAnsi="宋体"/>
          <w:sz w:val="28"/>
          <w:szCs w:val="28"/>
        </w:rPr>
        <w:t>44.47</w:t>
      </w:r>
      <w:r>
        <w:rPr>
          <w:rFonts w:hint="eastAsia" w:ascii="宋体" w:hAnsi="宋体"/>
          <w:sz w:val="28"/>
          <w:szCs w:val="28"/>
        </w:rPr>
        <w:t>万元，其他资金支出</w:t>
      </w:r>
      <w:r>
        <w:rPr>
          <w:rFonts w:ascii="宋体" w:hAnsi="宋体"/>
          <w:sz w:val="28"/>
          <w:szCs w:val="28"/>
        </w:rPr>
        <w:t>3.05</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年度财政收入预算数</w:t>
      </w:r>
      <w:r>
        <w:rPr>
          <w:rFonts w:ascii="宋体" w:hAnsi="宋体"/>
          <w:sz w:val="28"/>
          <w:szCs w:val="28"/>
        </w:rPr>
        <w:t>26.56</w:t>
      </w:r>
      <w:r>
        <w:rPr>
          <w:rFonts w:hint="eastAsia" w:ascii="宋体" w:hAnsi="宋体"/>
          <w:sz w:val="28"/>
          <w:szCs w:val="28"/>
        </w:rPr>
        <w:t>万元，财拔决算比预算多</w:t>
      </w:r>
      <w:r>
        <w:rPr>
          <w:rFonts w:ascii="宋体" w:hAnsi="宋体"/>
          <w:sz w:val="28"/>
          <w:szCs w:val="28"/>
        </w:rPr>
        <w:t>17.91</w:t>
      </w:r>
      <w:r>
        <w:rPr>
          <w:rFonts w:hint="eastAsia" w:ascii="宋体" w:hAnsi="宋体"/>
          <w:sz w:val="28"/>
          <w:szCs w:val="28"/>
        </w:rPr>
        <w:t>万元，增幅</w:t>
      </w:r>
      <w:r>
        <w:rPr>
          <w:rFonts w:ascii="宋体" w:hAnsi="宋体"/>
          <w:sz w:val="28"/>
          <w:szCs w:val="28"/>
        </w:rPr>
        <w:t>67.43%</w:t>
      </w:r>
      <w:r>
        <w:rPr>
          <w:rFonts w:hint="eastAsia" w:ascii="宋体" w:hAnsi="宋体"/>
          <w:sz w:val="28"/>
          <w:szCs w:val="28"/>
        </w:rPr>
        <w:t>，主要原因为本部门本期开展活动增加。</w:t>
      </w:r>
    </w:p>
    <w:p>
      <w:pPr>
        <w:shd w:val="clear" w:color="auto" w:fill="FFFFFF"/>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、收入支出结构分析</w:t>
      </w:r>
    </w:p>
    <w:p>
      <w:pPr>
        <w:shd w:val="clear" w:color="auto" w:fill="FFFFFF"/>
        <w:snapToGrid w:val="0"/>
        <w:spacing w:line="560" w:lineRule="atLeast"/>
        <w:ind w:firstLine="560" w:firstLineChars="200"/>
        <w:rPr>
          <w:rFonts w:ascii="宋体" w:cs="宋体"/>
          <w:color w:val="333333"/>
          <w:sz w:val="28"/>
          <w:szCs w:val="28"/>
        </w:rPr>
      </w:pPr>
      <w:r>
        <w:rPr>
          <w:rFonts w:ascii="宋体" w:hAnsi="宋体"/>
          <w:sz w:val="28"/>
          <w:szCs w:val="28"/>
        </w:rPr>
        <w:t>2021</w:t>
      </w:r>
      <w:r>
        <w:rPr>
          <w:rFonts w:hint="eastAsia" w:ascii="宋体" w:hAnsi="宋体"/>
          <w:sz w:val="28"/>
          <w:szCs w:val="28"/>
        </w:rPr>
        <w:t>年全年总收入</w:t>
      </w:r>
      <w:r>
        <w:rPr>
          <w:rFonts w:ascii="宋体" w:hAnsi="宋体"/>
          <w:sz w:val="28"/>
          <w:szCs w:val="28"/>
        </w:rPr>
        <w:t>47.52</w:t>
      </w:r>
      <w:r>
        <w:rPr>
          <w:rFonts w:hint="eastAsia" w:ascii="宋体" w:hAnsi="宋体"/>
          <w:sz w:val="28"/>
          <w:szCs w:val="28"/>
        </w:rPr>
        <w:t>万元。其中财政决算收入</w:t>
      </w:r>
      <w:r>
        <w:rPr>
          <w:rFonts w:ascii="宋体" w:hAnsi="宋体"/>
          <w:sz w:val="28"/>
          <w:szCs w:val="28"/>
        </w:rPr>
        <w:t>44.47</w:t>
      </w:r>
      <w:r>
        <w:rPr>
          <w:rFonts w:hint="eastAsia" w:ascii="宋体" w:hAnsi="宋体"/>
          <w:sz w:val="28"/>
          <w:szCs w:val="28"/>
        </w:rPr>
        <w:t>万元，其他收入</w:t>
      </w:r>
      <w:r>
        <w:rPr>
          <w:rFonts w:ascii="宋体" w:hAnsi="宋体"/>
          <w:sz w:val="28"/>
          <w:szCs w:val="28"/>
        </w:rPr>
        <w:t>3.05</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47.52</w:t>
      </w:r>
      <w:r>
        <w:rPr>
          <w:rFonts w:hint="eastAsia" w:ascii="宋体" w:hAnsi="宋体"/>
          <w:sz w:val="28"/>
          <w:szCs w:val="28"/>
        </w:rPr>
        <w:t>万元，其中财政决算支出</w:t>
      </w:r>
      <w:r>
        <w:rPr>
          <w:rFonts w:ascii="宋体" w:hAnsi="宋体"/>
          <w:sz w:val="28"/>
          <w:szCs w:val="28"/>
        </w:rPr>
        <w:t>44.47</w:t>
      </w:r>
      <w:r>
        <w:rPr>
          <w:rFonts w:hint="eastAsia" w:ascii="宋体" w:hAnsi="宋体"/>
          <w:sz w:val="28"/>
          <w:szCs w:val="28"/>
        </w:rPr>
        <w:t>万元。</w:t>
      </w:r>
      <w:r>
        <w:rPr>
          <w:rFonts w:hint="eastAsia" w:ascii="宋体" w:hAnsi="宋体" w:cs="宋体"/>
          <w:color w:val="333333"/>
          <w:sz w:val="28"/>
          <w:szCs w:val="28"/>
        </w:rPr>
        <w:t>比去年的</w:t>
      </w:r>
      <w:r>
        <w:rPr>
          <w:rFonts w:ascii="宋体" w:hAnsi="宋体" w:cs="宋体"/>
          <w:color w:val="333333"/>
          <w:sz w:val="28"/>
          <w:szCs w:val="28"/>
        </w:rPr>
        <w:t>30.62</w:t>
      </w:r>
      <w:r>
        <w:rPr>
          <w:rFonts w:hint="eastAsia" w:ascii="宋体" w:hAnsi="宋体" w:cs="宋体"/>
          <w:color w:val="333333"/>
          <w:sz w:val="28"/>
          <w:szCs w:val="28"/>
        </w:rPr>
        <w:t>万元增加</w:t>
      </w:r>
      <w:r>
        <w:rPr>
          <w:rFonts w:ascii="宋体" w:hAnsi="宋体" w:cs="宋体"/>
          <w:color w:val="333333"/>
          <w:sz w:val="28"/>
          <w:szCs w:val="28"/>
        </w:rPr>
        <w:t>13.85</w:t>
      </w:r>
      <w:r>
        <w:rPr>
          <w:rFonts w:hint="eastAsia" w:ascii="宋体" w:hAnsi="宋体" w:cs="宋体"/>
          <w:color w:val="333333"/>
          <w:sz w:val="28"/>
          <w:szCs w:val="28"/>
        </w:rPr>
        <w:t>万元，增幅</w:t>
      </w:r>
      <w:r>
        <w:rPr>
          <w:rFonts w:ascii="宋体" w:hAnsi="宋体" w:cs="宋体"/>
          <w:color w:val="333333"/>
          <w:sz w:val="28"/>
          <w:szCs w:val="28"/>
        </w:rPr>
        <w:t>45.23%</w:t>
      </w:r>
      <w:r>
        <w:rPr>
          <w:rFonts w:hint="eastAsia" w:ascii="宋体" w:hAnsi="宋体" w:cs="宋体"/>
          <w:color w:val="333333"/>
          <w:sz w:val="28"/>
          <w:szCs w:val="28"/>
        </w:rPr>
        <w:t>，其主要原因为本年开展妇联活动增加</w:t>
      </w:r>
      <w:r>
        <w:rPr>
          <w:rFonts w:hint="eastAsia" w:ascii="宋体" w:hAnsi="宋体" w:cs="仿宋_GB2312"/>
          <w:color w:val="000000"/>
          <w:sz w:val="28"/>
          <w:szCs w:val="28"/>
        </w:rPr>
        <w:t>所致，</w:t>
      </w:r>
      <w:r>
        <w:rPr>
          <w:rFonts w:hint="eastAsia" w:ascii="宋体" w:hAnsi="宋体" w:cs="宋体"/>
          <w:color w:val="333333"/>
          <w:sz w:val="28"/>
          <w:szCs w:val="28"/>
        </w:rPr>
        <w:t>与年初预算数</w:t>
      </w:r>
      <w:r>
        <w:rPr>
          <w:rFonts w:ascii="宋体" w:hAnsi="宋体" w:cs="宋体"/>
          <w:color w:val="333333"/>
          <w:sz w:val="28"/>
          <w:szCs w:val="28"/>
        </w:rPr>
        <w:t>26.56</w:t>
      </w:r>
      <w:r>
        <w:rPr>
          <w:rFonts w:hint="eastAsia" w:ascii="宋体" w:hAnsi="宋体" w:cs="宋体"/>
          <w:color w:val="333333"/>
          <w:sz w:val="28"/>
          <w:szCs w:val="28"/>
        </w:rPr>
        <w:t>万元对比增加</w:t>
      </w:r>
      <w:r>
        <w:rPr>
          <w:rFonts w:ascii="宋体" w:hAnsi="宋体" w:cs="宋体"/>
          <w:color w:val="333333"/>
          <w:sz w:val="28"/>
          <w:szCs w:val="28"/>
        </w:rPr>
        <w:t>17.91</w:t>
      </w:r>
      <w:r>
        <w:rPr>
          <w:rFonts w:hint="eastAsia" w:ascii="宋体" w:hAnsi="宋体" w:cs="宋体"/>
          <w:color w:val="333333"/>
          <w:sz w:val="28"/>
          <w:szCs w:val="28"/>
        </w:rPr>
        <w:t>万元，增幅</w:t>
      </w:r>
      <w:r>
        <w:rPr>
          <w:rFonts w:ascii="宋体" w:hAnsi="宋体" w:cs="宋体"/>
          <w:color w:val="333333"/>
          <w:sz w:val="28"/>
          <w:szCs w:val="28"/>
        </w:rPr>
        <w:t>67.43%</w:t>
      </w:r>
      <w:r>
        <w:rPr>
          <w:rFonts w:hint="eastAsia" w:ascii="宋体" w:hAnsi="宋体" w:cs="宋体"/>
          <w:color w:val="333333"/>
          <w:sz w:val="28"/>
          <w:szCs w:val="28"/>
        </w:rPr>
        <w:t>，其主要原因为</w:t>
      </w:r>
      <w:r>
        <w:rPr>
          <w:rFonts w:hint="eastAsia" w:ascii="宋体" w:hAnsi="宋体" w:cs="仿宋_GB2312"/>
          <w:color w:val="000000"/>
          <w:sz w:val="28"/>
          <w:szCs w:val="28"/>
        </w:rPr>
        <w:t>本年</w:t>
      </w:r>
      <w:r>
        <w:rPr>
          <w:rFonts w:hint="eastAsia" w:ascii="宋体" w:hAnsi="宋体" w:cs="宋体"/>
          <w:color w:val="333333"/>
          <w:sz w:val="28"/>
          <w:szCs w:val="28"/>
        </w:rPr>
        <w:t>开展妇联活动增加</w:t>
      </w:r>
      <w:r>
        <w:rPr>
          <w:rFonts w:hint="eastAsia" w:ascii="宋体" w:hAnsi="宋体" w:cs="仿宋_GB2312"/>
          <w:color w:val="000000"/>
          <w:sz w:val="28"/>
          <w:szCs w:val="28"/>
        </w:rPr>
        <w:t>所致，</w:t>
      </w:r>
    </w:p>
    <w:p>
      <w:pPr>
        <w:pStyle w:val="7"/>
        <w:widowControl/>
        <w:spacing w:before="76" w:beforeAutospacing="0" w:after="76" w:afterAutospacing="0" w:line="450" w:lineRule="atLeast"/>
        <w:ind w:firstLine="420"/>
        <w:rPr>
          <w:rFonts w:hint="eastAsia" w:ascii="宋体" w:hAnsi="宋体" w:eastAsia="宋体"/>
          <w:sz w:val="28"/>
          <w:szCs w:val="28"/>
          <w:lang w:eastAsia="zh-CN"/>
        </w:rPr>
      </w:pPr>
      <w:r>
        <w:rPr>
          <w:rFonts w:hint="eastAsia" w:ascii="宋体" w:hAnsi="宋体"/>
          <w:sz w:val="28"/>
          <w:szCs w:val="28"/>
        </w:rPr>
        <w:t>按以下分类说明</w:t>
      </w:r>
    </w:p>
    <w:p>
      <w:pPr>
        <w:pStyle w:val="7"/>
        <w:widowControl/>
        <w:spacing w:before="76" w:beforeAutospacing="0" w:after="76" w:afterAutospacing="0" w:line="450" w:lineRule="atLeast"/>
        <w:ind w:firstLine="420"/>
        <w:rPr>
          <w:rFonts w:hint="eastAsia" w:ascii="宋体" w:hAnsi="宋体" w:eastAsia="宋体"/>
          <w:sz w:val="28"/>
          <w:szCs w:val="28"/>
          <w:lang w:eastAsia="zh-CN"/>
        </w:rPr>
      </w:pPr>
      <w:r>
        <w:rPr>
          <w:rFonts w:hint="eastAsia" w:ascii="宋体" w:hAnsi="宋体" w:cs="宋体"/>
          <w:sz w:val="28"/>
          <w:szCs w:val="28"/>
        </w:rPr>
        <w:t>①</w:t>
      </w:r>
      <w:r>
        <w:rPr>
          <w:rFonts w:hint="eastAsia" w:ascii="宋体" w:hAnsi="宋体"/>
          <w:sz w:val="28"/>
          <w:szCs w:val="28"/>
        </w:rPr>
        <w:t>支出功能分类：</w:t>
      </w:r>
      <w:r>
        <w:rPr>
          <w:rFonts w:ascii="宋体" w:hAnsi="宋体"/>
          <w:sz w:val="28"/>
          <w:szCs w:val="28"/>
        </w:rPr>
        <w:t>44.47</w:t>
      </w:r>
      <w:r>
        <w:rPr>
          <w:rFonts w:hint="eastAsia" w:ascii="宋体" w:hAnsi="宋体"/>
          <w:sz w:val="28"/>
          <w:szCs w:val="28"/>
        </w:rPr>
        <w:t>万元。</w:t>
      </w:r>
    </w:p>
    <w:p>
      <w:pPr>
        <w:pStyle w:val="7"/>
        <w:widowControl/>
        <w:spacing w:before="76" w:beforeAutospacing="0" w:after="76" w:afterAutospacing="0" w:line="450" w:lineRule="atLeast"/>
        <w:ind w:firstLine="420"/>
        <w:rPr>
          <w:rFonts w:hint="eastAsia" w:ascii="宋体" w:hAnsi="宋体" w:eastAsia="宋体"/>
          <w:sz w:val="28"/>
          <w:szCs w:val="28"/>
          <w:lang w:eastAsia="zh-CN"/>
        </w:rPr>
      </w:pPr>
      <w:r>
        <w:rPr>
          <w:rFonts w:hint="eastAsia" w:ascii="宋体" w:hAnsi="宋体" w:cs="宋体"/>
          <w:sz w:val="28"/>
          <w:szCs w:val="28"/>
        </w:rPr>
        <w:t>②</w:t>
      </w:r>
      <w:r>
        <w:rPr>
          <w:rFonts w:hint="eastAsia" w:ascii="宋体" w:hAnsi="宋体"/>
          <w:sz w:val="28"/>
          <w:szCs w:val="28"/>
        </w:rPr>
        <w:t>支出性质分类：</w:t>
      </w:r>
      <w:r>
        <w:rPr>
          <w:rFonts w:ascii="宋体" w:hAnsi="宋体"/>
          <w:sz w:val="28"/>
          <w:szCs w:val="28"/>
        </w:rPr>
        <w:t>44.47</w:t>
      </w:r>
      <w:r>
        <w:rPr>
          <w:rFonts w:hint="eastAsia" w:ascii="宋体" w:hAnsi="宋体"/>
          <w:sz w:val="28"/>
          <w:szCs w:val="28"/>
        </w:rPr>
        <w:t>万元，其中人员经费</w:t>
      </w:r>
      <w:r>
        <w:rPr>
          <w:rFonts w:ascii="宋体" w:hAnsi="宋体"/>
          <w:sz w:val="28"/>
          <w:szCs w:val="28"/>
        </w:rPr>
        <w:t>26.76</w:t>
      </w:r>
      <w:r>
        <w:rPr>
          <w:rFonts w:hint="eastAsia" w:ascii="宋体" w:hAnsi="宋体"/>
          <w:sz w:val="28"/>
          <w:szCs w:val="28"/>
        </w:rPr>
        <w:t>万元；公用经费</w:t>
      </w:r>
      <w:r>
        <w:rPr>
          <w:rFonts w:ascii="宋体" w:hAnsi="宋体"/>
          <w:sz w:val="28"/>
          <w:szCs w:val="28"/>
        </w:rPr>
        <w:t>17.71</w:t>
      </w:r>
      <w:r>
        <w:rPr>
          <w:rFonts w:hint="eastAsia" w:ascii="宋体" w:hAnsi="宋体"/>
          <w:sz w:val="28"/>
          <w:szCs w:val="28"/>
        </w:rPr>
        <w:t>万元。</w:t>
      </w:r>
    </w:p>
    <w:p>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sz w:val="28"/>
          <w:szCs w:val="28"/>
        </w:rPr>
        <w:t>③</w:t>
      </w:r>
      <w:r>
        <w:rPr>
          <w:rFonts w:hint="eastAsia" w:ascii="宋体" w:hAnsi="宋体"/>
          <w:sz w:val="28"/>
          <w:szCs w:val="28"/>
        </w:rPr>
        <w:t>支出经济分类：</w:t>
      </w:r>
      <w:r>
        <w:rPr>
          <w:rFonts w:ascii="宋体" w:hAnsi="宋体"/>
          <w:sz w:val="28"/>
          <w:szCs w:val="28"/>
        </w:rPr>
        <w:t>44.47</w:t>
      </w:r>
      <w:r>
        <w:rPr>
          <w:rFonts w:hint="eastAsia" w:ascii="宋体" w:hAnsi="宋体"/>
          <w:sz w:val="28"/>
          <w:szCs w:val="28"/>
        </w:rPr>
        <w:t>万元。其中工资福利支出</w:t>
      </w:r>
      <w:r>
        <w:rPr>
          <w:rFonts w:ascii="宋体" w:hAnsi="宋体"/>
          <w:sz w:val="28"/>
          <w:szCs w:val="28"/>
        </w:rPr>
        <w:t>26.76</w:t>
      </w:r>
      <w:r>
        <w:rPr>
          <w:rFonts w:hint="eastAsia" w:ascii="宋体" w:hAnsi="宋体"/>
          <w:sz w:val="28"/>
          <w:szCs w:val="28"/>
        </w:rPr>
        <w:t>万元；商品服务支出</w:t>
      </w:r>
      <w:r>
        <w:rPr>
          <w:rFonts w:ascii="宋体" w:hAnsi="宋体"/>
          <w:sz w:val="28"/>
          <w:szCs w:val="28"/>
        </w:rPr>
        <w:t>15.80</w:t>
      </w:r>
      <w:r>
        <w:rPr>
          <w:rFonts w:hint="eastAsia" w:ascii="宋体" w:hAnsi="宋体"/>
          <w:sz w:val="28"/>
          <w:szCs w:val="28"/>
        </w:rPr>
        <w:t>万元；资本性支出</w:t>
      </w:r>
      <w:r>
        <w:rPr>
          <w:rFonts w:ascii="宋体" w:hAnsi="宋体"/>
          <w:sz w:val="28"/>
          <w:szCs w:val="28"/>
        </w:rPr>
        <w:t>1.91</w:t>
      </w:r>
      <w:r>
        <w:rPr>
          <w:rFonts w:hint="eastAsia" w:ascii="宋体" w:hAnsi="宋体"/>
          <w:sz w:val="28"/>
          <w:szCs w:val="28"/>
        </w:rPr>
        <w:t>万元。</w:t>
      </w:r>
    </w:p>
    <w:p>
      <w:pPr>
        <w:shd w:val="clear" w:color="auto" w:fill="FFFFFF"/>
        <w:snapToGrid w:val="0"/>
        <w:spacing w:line="560" w:lineRule="atLeast"/>
        <w:ind w:firstLine="560" w:firstLineChars="200"/>
        <w:rPr>
          <w:rFonts w:ascii="宋体" w:cs="宋体"/>
          <w:color w:val="333333"/>
          <w:sz w:val="28"/>
          <w:szCs w:val="28"/>
        </w:rPr>
      </w:pPr>
    </w:p>
    <w:p>
      <w:pPr>
        <w:pStyle w:val="7"/>
        <w:widowControl/>
        <w:spacing w:before="76" w:beforeAutospacing="0" w:after="76" w:afterAutospacing="0" w:line="450" w:lineRule="atLeast"/>
        <w:ind w:firstLine="281" w:firstLineChars="10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（二）关于“三公”经费支出说明</w:t>
      </w:r>
    </w:p>
    <w:p>
      <w:pPr>
        <w:shd w:val="clear" w:color="auto" w:fill="FFFFFF"/>
        <w:snapToGrid w:val="0"/>
        <w:spacing w:line="560" w:lineRule="atLeast"/>
        <w:ind w:firstLine="560" w:firstLineChars="200"/>
        <w:rPr>
          <w:rFonts w:hint="eastAsia" w:ascii="宋体" w:hAnsi="宋体" w:eastAsia="宋体" w:cs="宋体"/>
          <w:color w:val="333333"/>
          <w:sz w:val="28"/>
          <w:szCs w:val="28"/>
          <w:lang w:eastAsia="zh-CN"/>
        </w:rPr>
      </w:pPr>
      <w:r>
        <w:rPr>
          <w:rFonts w:ascii="宋体" w:hAnsi="宋体" w:cs="宋体"/>
          <w:color w:val="333333"/>
          <w:sz w:val="28"/>
          <w:szCs w:val="28"/>
        </w:rPr>
        <w:t>2021</w:t>
      </w:r>
      <w:r>
        <w:rPr>
          <w:rFonts w:hint="eastAsia" w:ascii="宋体" w:hAnsi="宋体" w:cs="宋体"/>
          <w:color w:val="333333"/>
          <w:sz w:val="28"/>
          <w:szCs w:val="28"/>
        </w:rPr>
        <w:t>年“三公”经费年初预算数为</w:t>
      </w:r>
      <w:r>
        <w:rPr>
          <w:rFonts w:ascii="宋体" w:cs="宋体"/>
          <w:color w:val="333333"/>
          <w:sz w:val="28"/>
          <w:szCs w:val="28"/>
        </w:rPr>
        <w:t>2000</w:t>
      </w:r>
      <w:r>
        <w:rPr>
          <w:rFonts w:hint="eastAsia" w:ascii="宋体" w:cs="宋体"/>
          <w:color w:val="333333"/>
          <w:sz w:val="28"/>
          <w:szCs w:val="28"/>
        </w:rPr>
        <w:t>元</w:t>
      </w:r>
      <w:r>
        <w:rPr>
          <w:rFonts w:hint="eastAsia" w:ascii="宋体" w:hAnsi="宋体" w:cs="宋体"/>
          <w:color w:val="333333"/>
          <w:sz w:val="28"/>
          <w:szCs w:val="28"/>
        </w:rPr>
        <w:t>，决算总支出</w:t>
      </w:r>
      <w:r>
        <w:rPr>
          <w:rFonts w:ascii="宋体" w:cs="宋体"/>
          <w:color w:val="333333"/>
          <w:sz w:val="28"/>
          <w:szCs w:val="28"/>
        </w:rPr>
        <w:t>0</w:t>
      </w:r>
      <w:r>
        <w:rPr>
          <w:rFonts w:hint="eastAsia" w:ascii="宋体" w:hAnsi="宋体" w:cs="宋体"/>
          <w:color w:val="333333"/>
          <w:sz w:val="28"/>
          <w:szCs w:val="28"/>
        </w:rPr>
        <w:t>元，</w:t>
      </w:r>
      <w:r>
        <w:rPr>
          <w:rFonts w:hint="eastAsia" w:ascii="宋体" w:hAnsi="宋体"/>
          <w:sz w:val="28"/>
          <w:szCs w:val="28"/>
        </w:rPr>
        <w:t>与</w:t>
      </w:r>
      <w:r>
        <w:rPr>
          <w:rFonts w:ascii="宋体" w:hAnsi="宋体"/>
          <w:sz w:val="28"/>
          <w:szCs w:val="28"/>
        </w:rPr>
        <w:t>2020</w:t>
      </w:r>
      <w:r>
        <w:rPr>
          <w:rFonts w:hint="eastAsia" w:ascii="宋体" w:hAnsi="宋体"/>
          <w:sz w:val="28"/>
          <w:szCs w:val="28"/>
        </w:rPr>
        <w:t>年度持平，</w:t>
      </w:r>
      <w:r>
        <w:rPr>
          <w:rFonts w:hint="eastAsia" w:ascii="宋体" w:hAnsi="宋体" w:cs="宋体"/>
          <w:color w:val="333333"/>
          <w:sz w:val="28"/>
          <w:szCs w:val="28"/>
        </w:rPr>
        <w:t>其中：</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公务车运行维护费</w:t>
      </w:r>
      <w:r>
        <w:rPr>
          <w:rFonts w:ascii="宋体" w:cs="宋体"/>
          <w:color w:val="333333"/>
          <w:sz w:val="28"/>
          <w:szCs w:val="28"/>
        </w:rPr>
        <w:t>0</w:t>
      </w:r>
      <w:r>
        <w:rPr>
          <w:rFonts w:hint="eastAsia" w:ascii="宋体" w:hAnsi="宋体" w:cs="宋体"/>
          <w:color w:val="333333"/>
          <w:sz w:val="28"/>
          <w:szCs w:val="28"/>
        </w:rPr>
        <w:t>元，年初预算数</w:t>
      </w:r>
      <w:r>
        <w:rPr>
          <w:rFonts w:ascii="宋体" w:cs="宋体"/>
          <w:color w:val="333333"/>
          <w:sz w:val="28"/>
          <w:szCs w:val="28"/>
        </w:rPr>
        <w:t>0</w:t>
      </w:r>
      <w:r>
        <w:rPr>
          <w:rFonts w:hint="eastAsia" w:ascii="宋体" w:hAnsi="宋体" w:cs="宋体"/>
          <w:color w:val="333333"/>
          <w:sz w:val="28"/>
          <w:szCs w:val="28"/>
        </w:rPr>
        <w:t>元，决算数比预算数减少</w:t>
      </w:r>
      <w:r>
        <w:rPr>
          <w:rFonts w:ascii="宋体" w:cs="宋体"/>
          <w:color w:val="333333"/>
          <w:sz w:val="28"/>
          <w:szCs w:val="28"/>
        </w:rPr>
        <w:t>0</w:t>
      </w:r>
      <w:r>
        <w:rPr>
          <w:rFonts w:hint="eastAsia" w:ascii="宋体" w:hAnsi="宋体" w:cs="宋体"/>
          <w:color w:val="333333"/>
          <w:sz w:val="28"/>
          <w:szCs w:val="28"/>
        </w:rPr>
        <w:t>元，减少幅度为</w:t>
      </w:r>
      <w:r>
        <w:rPr>
          <w:rFonts w:ascii="宋体" w:hAnsi="宋体" w:cs="宋体"/>
          <w:color w:val="333333"/>
          <w:sz w:val="28"/>
          <w:szCs w:val="28"/>
        </w:rPr>
        <w:t>0%</w:t>
      </w:r>
    </w:p>
    <w:p>
      <w:pPr>
        <w:shd w:val="clear" w:color="auto" w:fill="FFFFFF"/>
        <w:snapToGrid w:val="0"/>
        <w:spacing w:line="560" w:lineRule="atLeast"/>
        <w:rPr>
          <w:rFonts w:hint="eastAsia" w:ascii="宋体" w:hAnsi="宋体" w:eastAsia="宋体"/>
          <w:sz w:val="28"/>
          <w:szCs w:val="28"/>
          <w:lang w:eastAsia="zh-CN"/>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pPr>
        <w:shd w:val="clear" w:color="auto" w:fill="FFFFFF"/>
        <w:snapToGrid w:val="0"/>
        <w:spacing w:line="560" w:lineRule="atLeast"/>
        <w:rPr>
          <w:rFonts w:ascii="宋体" w:cs="宋体"/>
          <w:color w:val="333333"/>
          <w:sz w:val="28"/>
          <w:szCs w:val="28"/>
        </w:rPr>
      </w:pPr>
      <w:r>
        <w:rPr>
          <w:rFonts w:hint="eastAsia" w:ascii="宋体" w:hAnsi="宋体" w:cs="宋体"/>
          <w:color w:val="333333"/>
          <w:sz w:val="28"/>
          <w:szCs w:val="28"/>
        </w:rPr>
        <w:t>公务接待费</w:t>
      </w:r>
      <w:r>
        <w:rPr>
          <w:rFonts w:ascii="宋体" w:cs="宋体"/>
          <w:color w:val="333333"/>
          <w:sz w:val="28"/>
          <w:szCs w:val="28"/>
        </w:rPr>
        <w:t>0</w:t>
      </w:r>
      <w:r>
        <w:rPr>
          <w:rFonts w:hint="eastAsia" w:ascii="宋体" w:hAnsi="宋体" w:cs="宋体"/>
          <w:color w:val="333333"/>
          <w:sz w:val="28"/>
          <w:szCs w:val="28"/>
        </w:rPr>
        <w:t>元，年初预算数</w:t>
      </w:r>
      <w:r>
        <w:rPr>
          <w:rFonts w:ascii="宋体" w:hAnsi="宋体" w:cs="宋体"/>
          <w:color w:val="333333"/>
          <w:sz w:val="28"/>
          <w:szCs w:val="28"/>
        </w:rPr>
        <w:t>2000</w:t>
      </w:r>
      <w:r>
        <w:rPr>
          <w:rFonts w:hint="eastAsia" w:ascii="宋体" w:hAnsi="宋体" w:cs="宋体"/>
          <w:color w:val="333333"/>
          <w:sz w:val="28"/>
          <w:szCs w:val="28"/>
        </w:rPr>
        <w:t>元，决算数比预算数减少</w:t>
      </w:r>
      <w:r>
        <w:rPr>
          <w:rFonts w:ascii="宋体" w:hAnsi="宋体" w:cs="宋体"/>
          <w:color w:val="333333"/>
          <w:sz w:val="28"/>
          <w:szCs w:val="28"/>
        </w:rPr>
        <w:t>200</w:t>
      </w:r>
      <w:r>
        <w:rPr>
          <w:rFonts w:ascii="宋体" w:cs="宋体"/>
          <w:color w:val="333333"/>
          <w:sz w:val="28"/>
          <w:szCs w:val="28"/>
        </w:rPr>
        <w:t>0</w:t>
      </w:r>
      <w:r>
        <w:rPr>
          <w:rFonts w:hint="eastAsia" w:ascii="宋体" w:hAnsi="宋体" w:cs="宋体"/>
          <w:color w:val="333333"/>
          <w:sz w:val="28"/>
          <w:szCs w:val="28"/>
        </w:rPr>
        <w:t>元，减幅为</w:t>
      </w:r>
      <w:r>
        <w:rPr>
          <w:rFonts w:ascii="宋体" w:hAnsi="宋体" w:cs="宋体"/>
          <w:color w:val="333333"/>
          <w:sz w:val="28"/>
          <w:szCs w:val="28"/>
        </w:rPr>
        <w:t>100%</w:t>
      </w:r>
      <w:r>
        <w:rPr>
          <w:rFonts w:hint="eastAsia" w:ascii="宋体" w:hAnsi="宋体" w:cs="宋体"/>
          <w:color w:val="333333"/>
          <w:sz w:val="28"/>
          <w:szCs w:val="28"/>
        </w:rPr>
        <w:t>，接待批次为</w:t>
      </w:r>
      <w:r>
        <w:rPr>
          <w:rFonts w:ascii="宋体" w:cs="宋体"/>
          <w:color w:val="333333"/>
          <w:sz w:val="28"/>
          <w:szCs w:val="28"/>
        </w:rPr>
        <w:t>0</w:t>
      </w:r>
      <w:r>
        <w:rPr>
          <w:rFonts w:hint="eastAsia" w:ascii="宋体" w:hAnsi="宋体" w:cs="宋体"/>
          <w:color w:val="333333"/>
          <w:sz w:val="28"/>
          <w:szCs w:val="28"/>
        </w:rPr>
        <w:t>次，接待人数为</w:t>
      </w:r>
      <w:r>
        <w:rPr>
          <w:rFonts w:ascii="宋体" w:cs="宋体"/>
          <w:color w:val="333333"/>
          <w:sz w:val="28"/>
          <w:szCs w:val="28"/>
        </w:rPr>
        <w:t>0</w:t>
      </w:r>
      <w:r>
        <w:rPr>
          <w:rFonts w:hint="eastAsia" w:ascii="宋体" w:hAnsi="宋体" w:cs="宋体"/>
          <w:color w:val="333333"/>
          <w:sz w:val="28"/>
          <w:szCs w:val="28"/>
        </w:rPr>
        <w:t>人；</w:t>
      </w:r>
    </w:p>
    <w:p>
      <w:pPr>
        <w:shd w:val="clear" w:color="auto" w:fill="FFFFFF"/>
        <w:snapToGrid w:val="0"/>
        <w:spacing w:line="560" w:lineRule="atLeast"/>
        <w:rPr>
          <w:rFonts w:ascii="宋体" w:cs="宋体"/>
          <w:color w:val="333333"/>
          <w:sz w:val="28"/>
          <w:szCs w:val="28"/>
        </w:rPr>
      </w:pPr>
      <w:r>
        <w:rPr>
          <w:rFonts w:hint="eastAsia" w:ascii="宋体" w:hAnsi="宋体" w:cs="宋体"/>
          <w:color w:val="333333"/>
          <w:sz w:val="28"/>
          <w:szCs w:val="28"/>
        </w:rPr>
        <w:t>因公出国（境）费</w:t>
      </w:r>
      <w:r>
        <w:rPr>
          <w:rFonts w:ascii="宋体" w:cs="宋体"/>
          <w:color w:val="333333"/>
          <w:sz w:val="28"/>
          <w:szCs w:val="28"/>
        </w:rPr>
        <w:t>0</w:t>
      </w:r>
      <w:r>
        <w:rPr>
          <w:rFonts w:hint="eastAsia" w:ascii="宋体" w:hAnsi="宋体" w:cs="宋体"/>
          <w:color w:val="333333"/>
          <w:sz w:val="28"/>
          <w:szCs w:val="28"/>
        </w:rPr>
        <w:t>元，预算数</w:t>
      </w:r>
      <w:r>
        <w:rPr>
          <w:rFonts w:ascii="宋体" w:cs="宋体"/>
          <w:color w:val="333333"/>
          <w:sz w:val="28"/>
          <w:szCs w:val="28"/>
        </w:rPr>
        <w:t>0</w:t>
      </w:r>
      <w:r>
        <w:rPr>
          <w:rFonts w:hint="eastAsia" w:ascii="宋体" w:hAnsi="宋体" w:cs="宋体"/>
          <w:color w:val="333333"/>
          <w:sz w:val="28"/>
          <w:szCs w:val="28"/>
        </w:rPr>
        <w:t>元，决算数比预算数增加</w:t>
      </w:r>
      <w:r>
        <w:rPr>
          <w:rFonts w:ascii="宋体" w:cs="宋体"/>
          <w:color w:val="333333"/>
          <w:sz w:val="28"/>
          <w:szCs w:val="28"/>
        </w:rPr>
        <w:t>0</w:t>
      </w:r>
      <w:r>
        <w:rPr>
          <w:rFonts w:hint="eastAsia" w:ascii="宋体" w:hAnsi="宋体" w:cs="宋体"/>
          <w:color w:val="333333"/>
          <w:sz w:val="28"/>
          <w:szCs w:val="28"/>
        </w:rPr>
        <w:t>元，增长幅度为</w:t>
      </w:r>
      <w:r>
        <w:rPr>
          <w:rFonts w:ascii="宋体" w:hAnsi="宋体" w:cs="宋体"/>
          <w:color w:val="333333"/>
          <w:sz w:val="28"/>
          <w:szCs w:val="28"/>
        </w:rPr>
        <w:t>0%</w:t>
      </w:r>
      <w:r>
        <w:rPr>
          <w:rFonts w:hint="eastAsia" w:ascii="宋体" w:hAnsi="宋体" w:cs="宋体"/>
          <w:color w:val="333333"/>
          <w:sz w:val="28"/>
          <w:szCs w:val="28"/>
        </w:rPr>
        <w:t>，本单位因公出国（境）团组数</w:t>
      </w:r>
      <w:r>
        <w:rPr>
          <w:rFonts w:ascii="宋体" w:cs="宋体"/>
          <w:color w:val="333333"/>
          <w:sz w:val="28"/>
          <w:szCs w:val="28"/>
        </w:rPr>
        <w:t>0</w:t>
      </w:r>
      <w:r>
        <w:rPr>
          <w:rFonts w:hint="eastAsia" w:ascii="宋体" w:hAnsi="宋体" w:cs="宋体"/>
          <w:color w:val="333333"/>
          <w:sz w:val="28"/>
          <w:szCs w:val="28"/>
        </w:rPr>
        <w:t>、人数</w:t>
      </w:r>
      <w:r>
        <w:rPr>
          <w:rFonts w:ascii="宋体" w:cs="宋体"/>
          <w:color w:val="333333"/>
          <w:sz w:val="28"/>
          <w:szCs w:val="28"/>
        </w:rPr>
        <w:t>0</w:t>
      </w:r>
      <w:r>
        <w:rPr>
          <w:rFonts w:hint="eastAsia" w:ascii="宋体" w:hAnsi="宋体" w:cs="宋体"/>
          <w:color w:val="333333"/>
          <w:sz w:val="28"/>
          <w:szCs w:val="28"/>
        </w:rPr>
        <w:t>。</w:t>
      </w:r>
    </w:p>
    <w:p>
      <w:pPr>
        <w:shd w:val="clear" w:color="auto" w:fill="FFFFFF"/>
        <w:snapToGrid w:val="0"/>
        <w:spacing w:line="560" w:lineRule="atLeast"/>
        <w:ind w:firstLine="560" w:firstLineChars="200"/>
        <w:rPr>
          <w:rFonts w:hint="eastAsia" w:ascii="宋体" w:hAnsi="宋体" w:eastAsia="宋体" w:cs="宋体"/>
          <w:color w:val="333333"/>
          <w:sz w:val="28"/>
          <w:szCs w:val="28"/>
          <w:lang w:eastAsia="zh-CN"/>
        </w:rPr>
      </w:pPr>
      <w:r>
        <w:rPr>
          <w:rFonts w:ascii="宋体" w:hAnsi="宋体" w:cs="宋体"/>
          <w:color w:val="333333"/>
          <w:sz w:val="28"/>
          <w:szCs w:val="28"/>
        </w:rPr>
        <w:t>2020</w:t>
      </w:r>
      <w:r>
        <w:rPr>
          <w:rFonts w:hint="eastAsia" w:ascii="宋体" w:hAnsi="宋体" w:cs="宋体"/>
          <w:color w:val="333333"/>
          <w:sz w:val="28"/>
          <w:szCs w:val="28"/>
        </w:rPr>
        <w:t>年“三公”经费年初预算数为</w:t>
      </w:r>
      <w:r>
        <w:rPr>
          <w:rFonts w:ascii="宋体" w:hAnsi="宋体" w:cs="宋体"/>
          <w:color w:val="333333"/>
          <w:sz w:val="28"/>
          <w:szCs w:val="28"/>
        </w:rPr>
        <w:t>200</w:t>
      </w:r>
      <w:r>
        <w:rPr>
          <w:rFonts w:ascii="宋体" w:cs="宋体"/>
          <w:color w:val="333333"/>
          <w:sz w:val="28"/>
          <w:szCs w:val="28"/>
        </w:rPr>
        <w:t>0</w:t>
      </w:r>
      <w:r>
        <w:rPr>
          <w:rFonts w:hint="eastAsia" w:ascii="宋体" w:hAnsi="宋体" w:cs="宋体"/>
          <w:color w:val="333333"/>
          <w:sz w:val="28"/>
          <w:szCs w:val="28"/>
        </w:rPr>
        <w:t>，决算总支出</w:t>
      </w:r>
      <w:r>
        <w:rPr>
          <w:rFonts w:ascii="宋体" w:cs="宋体"/>
          <w:color w:val="333333"/>
          <w:sz w:val="28"/>
          <w:szCs w:val="28"/>
        </w:rPr>
        <w:t>0</w:t>
      </w:r>
      <w:r>
        <w:rPr>
          <w:rFonts w:hint="eastAsia" w:ascii="宋体" w:hAnsi="宋体" w:cs="宋体"/>
          <w:color w:val="333333"/>
          <w:sz w:val="28"/>
          <w:szCs w:val="28"/>
        </w:rPr>
        <w:t>元，其中：</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公务车运行维护费</w:t>
      </w:r>
      <w:r>
        <w:rPr>
          <w:rFonts w:ascii="宋体" w:cs="宋体"/>
          <w:color w:val="333333"/>
          <w:sz w:val="28"/>
          <w:szCs w:val="28"/>
        </w:rPr>
        <w:t>0</w:t>
      </w:r>
      <w:r>
        <w:rPr>
          <w:rFonts w:hint="eastAsia" w:ascii="宋体" w:hAnsi="宋体" w:cs="宋体"/>
          <w:color w:val="333333"/>
          <w:sz w:val="28"/>
          <w:szCs w:val="28"/>
        </w:rPr>
        <w:t>元，年初预算数</w:t>
      </w:r>
      <w:r>
        <w:rPr>
          <w:rFonts w:ascii="宋体" w:cs="宋体"/>
          <w:color w:val="333333"/>
          <w:sz w:val="28"/>
          <w:szCs w:val="28"/>
        </w:rPr>
        <w:t>0</w:t>
      </w:r>
      <w:r>
        <w:rPr>
          <w:rFonts w:hint="eastAsia" w:ascii="宋体" w:hAnsi="宋体" w:cs="宋体"/>
          <w:color w:val="333333"/>
          <w:sz w:val="28"/>
          <w:szCs w:val="28"/>
        </w:rPr>
        <w:t>元，决算数比预算数减少</w:t>
      </w:r>
      <w:r>
        <w:rPr>
          <w:rFonts w:ascii="宋体" w:cs="宋体"/>
          <w:color w:val="333333"/>
          <w:sz w:val="28"/>
          <w:szCs w:val="28"/>
        </w:rPr>
        <w:t>0</w:t>
      </w:r>
      <w:r>
        <w:rPr>
          <w:rFonts w:hint="eastAsia" w:ascii="宋体" w:hAnsi="宋体" w:cs="宋体"/>
          <w:color w:val="333333"/>
          <w:sz w:val="28"/>
          <w:szCs w:val="28"/>
        </w:rPr>
        <w:t>元，减少幅度为</w:t>
      </w:r>
      <w:r>
        <w:rPr>
          <w:rFonts w:ascii="宋体" w:hAnsi="宋体" w:cs="宋体"/>
          <w:color w:val="333333"/>
          <w:sz w:val="28"/>
          <w:szCs w:val="28"/>
        </w:rPr>
        <w:t>0%</w:t>
      </w:r>
      <w:r>
        <w:rPr>
          <w:rFonts w:hint="eastAsia" w:ascii="宋体" w:hAnsi="宋体" w:cs="宋体"/>
          <w:color w:val="333333"/>
          <w:sz w:val="28"/>
          <w:szCs w:val="28"/>
        </w:rPr>
        <w:t>，</w:t>
      </w:r>
    </w:p>
    <w:p>
      <w:pPr>
        <w:shd w:val="clear" w:color="auto" w:fill="FFFFFF"/>
        <w:snapToGrid w:val="0"/>
        <w:spacing w:line="560" w:lineRule="atLeast"/>
        <w:rPr>
          <w:rFonts w:hint="eastAsia" w:ascii="宋体" w:hAnsi="宋体" w:eastAsia="宋体"/>
          <w:sz w:val="28"/>
          <w:szCs w:val="28"/>
          <w:lang w:eastAsia="zh-CN"/>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pPr>
        <w:shd w:val="clear" w:color="auto" w:fill="FFFFFF"/>
        <w:snapToGrid w:val="0"/>
        <w:spacing w:line="560" w:lineRule="atLeast"/>
        <w:rPr>
          <w:rFonts w:ascii="宋体" w:cs="宋体"/>
          <w:color w:val="333333"/>
          <w:sz w:val="28"/>
          <w:szCs w:val="28"/>
        </w:rPr>
      </w:pPr>
      <w:r>
        <w:rPr>
          <w:rFonts w:hint="eastAsia" w:ascii="宋体" w:hAnsi="宋体" w:cs="宋体"/>
          <w:color w:val="333333"/>
          <w:sz w:val="28"/>
          <w:szCs w:val="28"/>
        </w:rPr>
        <w:t>公务接待费</w:t>
      </w:r>
      <w:r>
        <w:rPr>
          <w:rFonts w:ascii="宋体" w:cs="宋体"/>
          <w:color w:val="333333"/>
          <w:sz w:val="28"/>
          <w:szCs w:val="28"/>
        </w:rPr>
        <w:t>0</w:t>
      </w:r>
      <w:r>
        <w:rPr>
          <w:rFonts w:hint="eastAsia" w:ascii="宋体" w:hAnsi="宋体" w:cs="宋体"/>
          <w:color w:val="333333"/>
          <w:sz w:val="28"/>
          <w:szCs w:val="28"/>
        </w:rPr>
        <w:t>元，年初预算数</w:t>
      </w:r>
      <w:r>
        <w:rPr>
          <w:rFonts w:ascii="宋体" w:hAnsi="宋体" w:cs="宋体"/>
          <w:color w:val="333333"/>
          <w:sz w:val="28"/>
          <w:szCs w:val="28"/>
        </w:rPr>
        <w:t>200</w:t>
      </w:r>
      <w:r>
        <w:rPr>
          <w:rFonts w:ascii="宋体" w:cs="宋体"/>
          <w:color w:val="333333"/>
          <w:sz w:val="28"/>
          <w:szCs w:val="28"/>
        </w:rPr>
        <w:t>0</w:t>
      </w:r>
      <w:r>
        <w:rPr>
          <w:rFonts w:hint="eastAsia" w:ascii="宋体" w:hAnsi="宋体" w:cs="宋体"/>
          <w:color w:val="333333"/>
          <w:sz w:val="28"/>
          <w:szCs w:val="28"/>
        </w:rPr>
        <w:t>元，决算数比预算数减少</w:t>
      </w:r>
      <w:r>
        <w:rPr>
          <w:rFonts w:ascii="宋体" w:hAnsi="宋体" w:cs="宋体"/>
          <w:color w:val="333333"/>
          <w:sz w:val="28"/>
          <w:szCs w:val="28"/>
        </w:rPr>
        <w:t>200</w:t>
      </w:r>
      <w:r>
        <w:rPr>
          <w:rFonts w:ascii="宋体" w:cs="宋体"/>
          <w:color w:val="333333"/>
          <w:sz w:val="28"/>
          <w:szCs w:val="28"/>
        </w:rPr>
        <w:t>0</w:t>
      </w:r>
      <w:r>
        <w:rPr>
          <w:rFonts w:hint="eastAsia" w:ascii="宋体" w:hAnsi="宋体" w:cs="宋体"/>
          <w:color w:val="333333"/>
          <w:sz w:val="28"/>
          <w:szCs w:val="28"/>
        </w:rPr>
        <w:t>元，减幅为</w:t>
      </w:r>
      <w:r>
        <w:rPr>
          <w:rFonts w:ascii="宋体" w:hAnsi="宋体" w:cs="宋体"/>
          <w:color w:val="333333"/>
          <w:sz w:val="28"/>
          <w:szCs w:val="28"/>
        </w:rPr>
        <w:t>100%</w:t>
      </w:r>
      <w:r>
        <w:rPr>
          <w:rFonts w:hint="eastAsia" w:ascii="宋体" w:hAnsi="宋体" w:cs="宋体"/>
          <w:color w:val="333333"/>
          <w:sz w:val="28"/>
          <w:szCs w:val="28"/>
        </w:rPr>
        <w:t>，接待批次为</w:t>
      </w:r>
      <w:r>
        <w:rPr>
          <w:rFonts w:ascii="宋体" w:cs="宋体"/>
          <w:color w:val="333333"/>
          <w:sz w:val="28"/>
          <w:szCs w:val="28"/>
        </w:rPr>
        <w:t>0</w:t>
      </w:r>
      <w:r>
        <w:rPr>
          <w:rFonts w:hint="eastAsia" w:ascii="宋体" w:hAnsi="宋体" w:cs="宋体"/>
          <w:color w:val="333333"/>
          <w:sz w:val="28"/>
          <w:szCs w:val="28"/>
        </w:rPr>
        <w:t>次，接待人数为</w:t>
      </w:r>
      <w:r>
        <w:rPr>
          <w:rFonts w:ascii="宋体" w:cs="宋体"/>
          <w:color w:val="333333"/>
          <w:sz w:val="28"/>
          <w:szCs w:val="28"/>
        </w:rPr>
        <w:t>0</w:t>
      </w:r>
      <w:r>
        <w:rPr>
          <w:rFonts w:hint="eastAsia" w:ascii="宋体" w:hAnsi="宋体" w:cs="宋体"/>
          <w:color w:val="333333"/>
          <w:sz w:val="28"/>
          <w:szCs w:val="28"/>
        </w:rPr>
        <w:t>人；</w:t>
      </w:r>
    </w:p>
    <w:p>
      <w:pPr>
        <w:shd w:val="clear" w:color="auto" w:fill="FFFFFF"/>
        <w:snapToGrid w:val="0"/>
        <w:spacing w:line="560" w:lineRule="atLeast"/>
        <w:rPr>
          <w:rFonts w:ascii="宋体" w:cs="宋体"/>
          <w:color w:val="333333"/>
          <w:sz w:val="28"/>
          <w:szCs w:val="28"/>
        </w:rPr>
      </w:pPr>
      <w:r>
        <w:rPr>
          <w:rFonts w:hint="eastAsia" w:ascii="宋体" w:hAnsi="宋体" w:cs="宋体"/>
          <w:color w:val="333333"/>
          <w:sz w:val="28"/>
          <w:szCs w:val="28"/>
        </w:rPr>
        <w:t>因公出国（境）费</w:t>
      </w:r>
      <w:r>
        <w:rPr>
          <w:rFonts w:ascii="宋体" w:cs="宋体"/>
          <w:color w:val="333333"/>
          <w:sz w:val="28"/>
          <w:szCs w:val="28"/>
        </w:rPr>
        <w:t>0</w:t>
      </w:r>
      <w:r>
        <w:rPr>
          <w:rFonts w:hint="eastAsia" w:ascii="宋体" w:hAnsi="宋体" w:cs="宋体"/>
          <w:color w:val="333333"/>
          <w:sz w:val="28"/>
          <w:szCs w:val="28"/>
        </w:rPr>
        <w:t>元，预算数</w:t>
      </w:r>
      <w:r>
        <w:rPr>
          <w:rFonts w:ascii="宋体" w:cs="宋体"/>
          <w:color w:val="333333"/>
          <w:sz w:val="28"/>
          <w:szCs w:val="28"/>
        </w:rPr>
        <w:t>0</w:t>
      </w:r>
      <w:r>
        <w:rPr>
          <w:rFonts w:hint="eastAsia" w:ascii="宋体" w:hAnsi="宋体" w:cs="宋体"/>
          <w:color w:val="333333"/>
          <w:sz w:val="28"/>
          <w:szCs w:val="28"/>
        </w:rPr>
        <w:t>元，决算数比预算数增加</w:t>
      </w:r>
      <w:r>
        <w:rPr>
          <w:rFonts w:ascii="宋体" w:cs="宋体"/>
          <w:color w:val="333333"/>
          <w:sz w:val="28"/>
          <w:szCs w:val="28"/>
        </w:rPr>
        <w:t>0</w:t>
      </w:r>
      <w:r>
        <w:rPr>
          <w:rFonts w:hint="eastAsia" w:ascii="宋体" w:hAnsi="宋体" w:cs="宋体"/>
          <w:color w:val="333333"/>
          <w:sz w:val="28"/>
          <w:szCs w:val="28"/>
        </w:rPr>
        <w:t>元，增长幅度为</w:t>
      </w:r>
      <w:r>
        <w:rPr>
          <w:rFonts w:ascii="宋体" w:hAnsi="宋体" w:cs="宋体"/>
          <w:color w:val="333333"/>
          <w:sz w:val="28"/>
          <w:szCs w:val="28"/>
        </w:rPr>
        <w:t>0%</w:t>
      </w:r>
      <w:r>
        <w:rPr>
          <w:rFonts w:hint="eastAsia" w:ascii="宋体" w:hAnsi="宋体" w:cs="宋体"/>
          <w:color w:val="333333"/>
          <w:sz w:val="28"/>
          <w:szCs w:val="28"/>
        </w:rPr>
        <w:t>，本单位因公出国（境）团组数</w:t>
      </w:r>
      <w:r>
        <w:rPr>
          <w:rFonts w:ascii="宋体" w:cs="宋体"/>
          <w:color w:val="333333"/>
          <w:sz w:val="28"/>
          <w:szCs w:val="28"/>
        </w:rPr>
        <w:t>0</w:t>
      </w:r>
      <w:r>
        <w:rPr>
          <w:rFonts w:hint="eastAsia" w:ascii="宋体" w:hAnsi="宋体" w:cs="宋体"/>
          <w:color w:val="333333"/>
          <w:sz w:val="28"/>
          <w:szCs w:val="28"/>
        </w:rPr>
        <w:t>、人数</w:t>
      </w:r>
      <w:r>
        <w:rPr>
          <w:rFonts w:ascii="宋体" w:cs="宋体"/>
          <w:color w:val="333333"/>
          <w:sz w:val="28"/>
          <w:szCs w:val="28"/>
        </w:rPr>
        <w:t>0</w:t>
      </w:r>
      <w:r>
        <w:rPr>
          <w:rFonts w:hint="eastAsia" w:ascii="宋体" w:hAnsi="宋体" w:cs="宋体"/>
          <w:color w:val="333333"/>
          <w:sz w:val="28"/>
          <w:szCs w:val="28"/>
        </w:rPr>
        <w:t>。</w:t>
      </w:r>
    </w:p>
    <w:p>
      <w:pPr>
        <w:pStyle w:val="7"/>
        <w:widowControl/>
        <w:spacing w:before="76" w:beforeAutospacing="0" w:after="76" w:afterAutospacing="0" w:line="450" w:lineRule="atLeast"/>
        <w:ind w:firstLine="281" w:firstLineChars="10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（三）关于机关运行经费支出说明</w:t>
      </w:r>
    </w:p>
    <w:p>
      <w:pPr>
        <w:shd w:val="clear" w:color="auto" w:fill="FFFFFF"/>
        <w:spacing w:line="360" w:lineRule="auto"/>
        <w:ind w:firstLine="700" w:firstLineChars="250"/>
        <w:rPr>
          <w:rFonts w:ascii="宋体" w:cs="仿宋"/>
          <w:bCs/>
          <w:color w:val="000000"/>
          <w:sz w:val="28"/>
          <w:szCs w:val="28"/>
        </w:rPr>
      </w:pPr>
      <w:r>
        <w:rPr>
          <w:rFonts w:hint="eastAsia" w:ascii="宋体" w:hAnsi="宋体" w:cs="仿宋"/>
          <w:bCs/>
          <w:color w:val="000000"/>
          <w:sz w:val="28"/>
          <w:szCs w:val="28"/>
        </w:rPr>
        <w:t>本单位机关运行经费本年支出</w:t>
      </w:r>
      <w:r>
        <w:rPr>
          <w:rFonts w:ascii="宋体" w:hAnsi="宋体" w:cs="仿宋"/>
          <w:bCs/>
          <w:color w:val="000000"/>
          <w:sz w:val="28"/>
          <w:szCs w:val="28"/>
        </w:rPr>
        <w:t>17.71</w:t>
      </w:r>
      <w:r>
        <w:rPr>
          <w:rFonts w:hint="eastAsia" w:ascii="宋体" w:hAnsi="宋体" w:cs="仿宋"/>
          <w:bCs/>
          <w:color w:val="000000"/>
          <w:sz w:val="28"/>
          <w:szCs w:val="28"/>
        </w:rPr>
        <w:t>万元，去年支出为</w:t>
      </w:r>
      <w:r>
        <w:rPr>
          <w:rFonts w:ascii="宋体" w:hAnsi="宋体" w:cs="仿宋"/>
          <w:bCs/>
          <w:color w:val="000000"/>
          <w:sz w:val="28"/>
          <w:szCs w:val="28"/>
        </w:rPr>
        <w:t>13.18</w:t>
      </w:r>
      <w:r>
        <w:rPr>
          <w:rFonts w:hint="eastAsia" w:ascii="宋体" w:hAnsi="宋体" w:cs="仿宋"/>
          <w:bCs/>
          <w:color w:val="000000"/>
          <w:sz w:val="28"/>
          <w:szCs w:val="28"/>
        </w:rPr>
        <w:t>万元，对比增加</w:t>
      </w:r>
      <w:r>
        <w:rPr>
          <w:rFonts w:ascii="宋体" w:hAnsi="宋体" w:cs="仿宋"/>
          <w:bCs/>
          <w:color w:val="000000"/>
          <w:sz w:val="28"/>
          <w:szCs w:val="28"/>
        </w:rPr>
        <w:t>4.53</w:t>
      </w:r>
      <w:r>
        <w:rPr>
          <w:rFonts w:hint="eastAsia" w:ascii="宋体" w:hAnsi="宋体" w:cs="仿宋"/>
          <w:bCs/>
          <w:color w:val="000000"/>
          <w:sz w:val="28"/>
          <w:szCs w:val="28"/>
        </w:rPr>
        <w:t>万元，</w:t>
      </w:r>
      <w:r>
        <w:rPr>
          <w:rFonts w:hint="eastAsia" w:ascii="宋体" w:hAnsi="宋体" w:cs="宋体"/>
          <w:color w:val="333333"/>
          <w:sz w:val="28"/>
          <w:szCs w:val="28"/>
        </w:rPr>
        <w:t>增幅</w:t>
      </w:r>
      <w:r>
        <w:rPr>
          <w:rFonts w:ascii="宋体" w:hAnsi="宋体" w:cs="宋体"/>
          <w:color w:val="333333"/>
          <w:sz w:val="28"/>
          <w:szCs w:val="28"/>
        </w:rPr>
        <w:t>34.38%</w:t>
      </w:r>
      <w:r>
        <w:rPr>
          <w:rFonts w:hint="eastAsia" w:ascii="宋体" w:hAnsi="宋体" w:cs="宋体"/>
          <w:color w:val="333333"/>
          <w:sz w:val="28"/>
          <w:szCs w:val="28"/>
        </w:rPr>
        <w:t>，</w:t>
      </w:r>
      <w:r>
        <w:rPr>
          <w:rFonts w:hint="eastAsia" w:ascii="宋体" w:hAnsi="宋体" w:cs="仿宋"/>
          <w:bCs/>
          <w:color w:val="000000"/>
          <w:sz w:val="28"/>
          <w:szCs w:val="28"/>
        </w:rPr>
        <w:t>主要原因为本年开展妇联活动支出增加所致。本部门机关运行经费本年年初预算数为</w:t>
      </w:r>
      <w:r>
        <w:rPr>
          <w:rFonts w:ascii="宋体" w:hAnsi="宋体" w:cs="仿宋"/>
          <w:bCs/>
          <w:color w:val="000000"/>
          <w:sz w:val="28"/>
          <w:szCs w:val="28"/>
        </w:rPr>
        <w:t>9.27</w:t>
      </w:r>
      <w:r>
        <w:rPr>
          <w:rFonts w:hint="eastAsia" w:ascii="宋体" w:hAnsi="宋体" w:cs="仿宋"/>
          <w:bCs/>
          <w:color w:val="000000"/>
          <w:sz w:val="28"/>
          <w:szCs w:val="28"/>
        </w:rPr>
        <w:t>万元，</w:t>
      </w:r>
      <w:r>
        <w:rPr>
          <w:rFonts w:hint="eastAsia" w:ascii="宋体" w:hAnsi="宋体" w:cs="宋体"/>
          <w:color w:val="333333"/>
          <w:sz w:val="28"/>
          <w:szCs w:val="28"/>
        </w:rPr>
        <w:t>决算数与年初预算数对比增加</w:t>
      </w:r>
      <w:r>
        <w:rPr>
          <w:rFonts w:ascii="宋体" w:hAnsi="宋体" w:cs="宋体"/>
          <w:color w:val="333333"/>
          <w:sz w:val="28"/>
          <w:szCs w:val="28"/>
        </w:rPr>
        <w:t>8.44</w:t>
      </w:r>
      <w:r>
        <w:rPr>
          <w:rFonts w:hint="eastAsia" w:ascii="宋体" w:hAnsi="宋体" w:cs="宋体"/>
          <w:color w:val="333333"/>
          <w:sz w:val="28"/>
          <w:szCs w:val="28"/>
        </w:rPr>
        <w:t>万元，增幅</w:t>
      </w:r>
      <w:r>
        <w:rPr>
          <w:rFonts w:ascii="宋体" w:hAnsi="宋体" w:cs="宋体"/>
          <w:color w:val="333333"/>
          <w:sz w:val="28"/>
          <w:szCs w:val="28"/>
        </w:rPr>
        <w:t>91.05%</w:t>
      </w:r>
      <w:r>
        <w:rPr>
          <w:rFonts w:hint="eastAsia" w:ascii="宋体" w:hAnsi="宋体" w:cs="宋体"/>
          <w:color w:val="333333"/>
          <w:sz w:val="28"/>
          <w:szCs w:val="28"/>
        </w:rPr>
        <w:t>，</w:t>
      </w:r>
      <w:r>
        <w:rPr>
          <w:rFonts w:hint="eastAsia" w:ascii="宋体" w:hAnsi="宋体" w:cs="仿宋_GB2312"/>
          <w:color w:val="000000"/>
          <w:sz w:val="28"/>
          <w:szCs w:val="28"/>
        </w:rPr>
        <w:t>其主要原因为本年度</w:t>
      </w:r>
      <w:r>
        <w:rPr>
          <w:rFonts w:hint="eastAsia" w:ascii="宋体" w:hAnsi="宋体" w:cs="仿宋"/>
          <w:bCs/>
          <w:color w:val="000000"/>
          <w:sz w:val="28"/>
          <w:szCs w:val="28"/>
        </w:rPr>
        <w:t>开展妇联活动支出增加所致。</w:t>
      </w:r>
    </w:p>
    <w:p>
      <w:pPr>
        <w:shd w:val="clear" w:color="auto" w:fill="FFFFFF"/>
        <w:spacing w:line="360" w:lineRule="auto"/>
        <w:ind w:firstLine="560" w:firstLineChars="200"/>
        <w:rPr>
          <w:rFonts w:ascii="宋体" w:cs="宋体"/>
          <w:color w:val="333333"/>
          <w:sz w:val="28"/>
          <w:szCs w:val="28"/>
        </w:rPr>
      </w:pPr>
    </w:p>
    <w:p>
      <w:pPr>
        <w:pStyle w:val="7"/>
        <w:widowControl/>
        <w:spacing w:before="76" w:beforeAutospacing="0" w:after="76" w:afterAutospacing="0" w:line="450" w:lineRule="atLeast"/>
        <w:ind w:firstLine="141" w:firstLineChars="5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（四）关于政府采购支出说明</w:t>
      </w:r>
    </w:p>
    <w:p>
      <w:pPr>
        <w:shd w:val="clear" w:color="auto" w:fill="FFFFFF"/>
        <w:spacing w:line="360" w:lineRule="auto"/>
        <w:ind w:firstLine="700" w:firstLineChars="250"/>
        <w:rPr>
          <w:rFonts w:ascii="宋体" w:cs="仿宋"/>
          <w:bCs/>
          <w:color w:val="000000"/>
          <w:sz w:val="28"/>
          <w:szCs w:val="28"/>
        </w:rPr>
      </w:pPr>
      <w:r>
        <w:rPr>
          <w:rFonts w:hint="eastAsia" w:ascii="宋体" w:hAnsi="宋体" w:cs="仿宋"/>
          <w:bCs/>
          <w:sz w:val="28"/>
          <w:szCs w:val="28"/>
        </w:rPr>
        <w:t>本单位2021年度政府采购支出总额</w:t>
      </w:r>
      <w:r>
        <w:rPr>
          <w:rFonts w:hint="eastAsia" w:ascii="宋体" w:hAnsi="宋体" w:cs="仿宋"/>
          <w:bCs/>
          <w:sz w:val="28"/>
          <w:szCs w:val="28"/>
          <w:lang w:val="en-US" w:eastAsia="zh-CN"/>
        </w:rPr>
        <w:t>1.77</w:t>
      </w:r>
      <w:r>
        <w:rPr>
          <w:rFonts w:hint="eastAsia" w:ascii="宋体" w:hAnsi="宋体" w:cs="仿宋"/>
          <w:bCs/>
          <w:sz w:val="28"/>
          <w:szCs w:val="28"/>
        </w:rPr>
        <w:t>万元，其中：政府采购货物支出</w:t>
      </w:r>
      <w:r>
        <w:rPr>
          <w:rFonts w:hint="eastAsia" w:ascii="宋体" w:hAnsi="宋体" w:cs="仿宋"/>
          <w:bCs/>
          <w:sz w:val="28"/>
          <w:szCs w:val="28"/>
          <w:lang w:val="en-US" w:eastAsia="zh-CN"/>
        </w:rPr>
        <w:t>1.77</w:t>
      </w:r>
      <w:r>
        <w:rPr>
          <w:rFonts w:hint="eastAsia" w:ascii="宋体" w:hAnsi="宋体" w:cs="仿宋"/>
          <w:bCs/>
          <w:sz w:val="28"/>
          <w:szCs w:val="28"/>
        </w:rPr>
        <w:t>万元、政府采购工程支出0万元、政府采购服务支出0万元。授予中小企业合同金额</w:t>
      </w:r>
      <w:r>
        <w:rPr>
          <w:rFonts w:hint="eastAsia" w:ascii="宋体" w:hAnsi="宋体" w:cs="仿宋"/>
          <w:bCs/>
          <w:sz w:val="28"/>
          <w:szCs w:val="28"/>
          <w:lang w:val="en-US" w:eastAsia="zh-CN"/>
        </w:rPr>
        <w:t>1.77</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w:t>
      </w:r>
      <w:r>
        <w:rPr>
          <w:rFonts w:hint="eastAsia" w:ascii="宋体" w:hAnsi="宋体" w:cs="仿宋"/>
          <w:bCs/>
          <w:sz w:val="28"/>
          <w:szCs w:val="28"/>
        </w:rPr>
        <w:t>0%，其中：授予小微企业合同金额</w:t>
      </w:r>
      <w:r>
        <w:rPr>
          <w:rFonts w:hint="eastAsia" w:ascii="宋体" w:hAnsi="宋体" w:cs="仿宋"/>
          <w:bCs/>
          <w:sz w:val="28"/>
          <w:szCs w:val="28"/>
          <w:lang w:val="en-US" w:eastAsia="zh-CN"/>
        </w:rPr>
        <w:t>1.77</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w:t>
      </w:r>
      <w:r>
        <w:rPr>
          <w:rFonts w:hint="eastAsia" w:ascii="宋体" w:hAnsi="宋体" w:cs="仿宋"/>
          <w:bCs/>
          <w:sz w:val="28"/>
          <w:szCs w:val="28"/>
        </w:rPr>
        <w:t>0%。</w:t>
      </w:r>
      <w:bookmarkStart w:id="0" w:name="_GoBack"/>
    </w:p>
    <w:bookmarkEnd w:id="0"/>
    <w:p>
      <w:pPr>
        <w:rPr>
          <w:rFonts w:ascii="宋体" w:cs="仿宋"/>
          <w:sz w:val="28"/>
          <w:szCs w:val="28"/>
        </w:rPr>
      </w:pPr>
    </w:p>
    <w:p>
      <w:pPr>
        <w:pStyle w:val="7"/>
        <w:widowControl/>
        <w:spacing w:before="76" w:beforeAutospacing="0" w:after="76" w:afterAutospacing="0" w:line="450" w:lineRule="atLeast"/>
        <w:ind w:firstLine="141" w:firstLineChars="5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（五）关于国有资产占用情况说明</w:t>
      </w:r>
    </w:p>
    <w:p>
      <w:pPr>
        <w:widowControl/>
        <w:shd w:val="clear" w:color="auto" w:fill="FFFFFF"/>
        <w:snapToGrid w:val="0"/>
        <w:spacing w:line="560" w:lineRule="atLeast"/>
        <w:ind w:firstLine="562"/>
        <w:jc w:val="left"/>
        <w:rPr>
          <w:rFonts w:ascii="宋体"/>
          <w:sz w:val="28"/>
          <w:szCs w:val="28"/>
        </w:rPr>
      </w:pPr>
      <w:r>
        <w:rPr>
          <w:rFonts w:hint="eastAsia" w:ascii="宋体" w:hAnsi="宋体"/>
          <w:sz w:val="28"/>
          <w:szCs w:val="28"/>
        </w:rPr>
        <w:t>截至</w:t>
      </w:r>
      <w:r>
        <w:rPr>
          <w:rFonts w:ascii="宋体" w:hAnsi="宋体"/>
          <w:sz w:val="28"/>
          <w:szCs w:val="28"/>
        </w:rPr>
        <w:t>2021</w:t>
      </w:r>
      <w:r>
        <w:rPr>
          <w:rFonts w:hint="eastAsia" w:ascii="宋体" w:hAnsi="宋体"/>
          <w:sz w:val="28"/>
          <w:szCs w:val="28"/>
        </w:rPr>
        <w:t>年</w:t>
      </w:r>
      <w:r>
        <w:rPr>
          <w:rFonts w:ascii="宋体" w:hAnsi="宋体"/>
          <w:sz w:val="28"/>
          <w:szCs w:val="28"/>
        </w:rPr>
        <w:t>12</w:t>
      </w:r>
      <w:r>
        <w:rPr>
          <w:rFonts w:hint="eastAsia" w:ascii="宋体" w:hAnsi="宋体"/>
          <w:sz w:val="28"/>
          <w:szCs w:val="28"/>
        </w:rPr>
        <w:t>月</w:t>
      </w:r>
      <w:r>
        <w:rPr>
          <w:rFonts w:ascii="宋体" w:hAnsi="宋体"/>
          <w:sz w:val="28"/>
          <w:szCs w:val="28"/>
        </w:rPr>
        <w:t>31</w:t>
      </w:r>
      <w:r>
        <w:rPr>
          <w:rFonts w:hint="eastAsia" w:ascii="宋体" w:hAnsi="宋体"/>
          <w:sz w:val="28"/>
          <w:szCs w:val="28"/>
        </w:rPr>
        <w:t>日，本部门共有车辆</w:t>
      </w:r>
      <w:r>
        <w:rPr>
          <w:rFonts w:ascii="宋体"/>
          <w:sz w:val="28"/>
          <w:szCs w:val="28"/>
        </w:rPr>
        <w:t>0</w:t>
      </w:r>
      <w:r>
        <w:rPr>
          <w:rFonts w:hint="eastAsia" w:ascii="宋体" w:hAnsi="宋体"/>
          <w:sz w:val="28"/>
          <w:szCs w:val="28"/>
        </w:rPr>
        <w:t>辆，其中，主要领导干部用车</w:t>
      </w:r>
      <w:r>
        <w:rPr>
          <w:rFonts w:ascii="宋体"/>
          <w:sz w:val="28"/>
          <w:szCs w:val="28"/>
        </w:rPr>
        <w:t>0</w:t>
      </w:r>
      <w:r>
        <w:rPr>
          <w:rFonts w:hint="eastAsia" w:ascii="宋体" w:hAnsi="宋体"/>
          <w:sz w:val="28"/>
          <w:szCs w:val="28"/>
        </w:rPr>
        <w:t>辆、机要通信用车</w:t>
      </w:r>
      <w:r>
        <w:rPr>
          <w:rFonts w:ascii="宋体"/>
          <w:sz w:val="28"/>
          <w:szCs w:val="28"/>
        </w:rPr>
        <w:t>0</w:t>
      </w:r>
      <w:r>
        <w:rPr>
          <w:rFonts w:hint="eastAsia" w:ascii="宋体" w:hAnsi="宋体"/>
          <w:sz w:val="28"/>
          <w:szCs w:val="28"/>
        </w:rPr>
        <w:t>辆、应急保障用车</w:t>
      </w:r>
      <w:r>
        <w:rPr>
          <w:rFonts w:ascii="宋体"/>
          <w:sz w:val="28"/>
          <w:szCs w:val="28"/>
        </w:rPr>
        <w:t>0</w:t>
      </w:r>
      <w:r>
        <w:rPr>
          <w:rFonts w:hint="eastAsia" w:ascii="宋体" w:hAnsi="宋体"/>
          <w:sz w:val="28"/>
          <w:szCs w:val="28"/>
        </w:rPr>
        <w:t>辆、执法执勤用车</w:t>
      </w:r>
      <w:r>
        <w:rPr>
          <w:rFonts w:ascii="宋体"/>
          <w:sz w:val="28"/>
          <w:szCs w:val="28"/>
        </w:rPr>
        <w:t>0</w:t>
      </w:r>
      <w:r>
        <w:rPr>
          <w:rFonts w:hint="eastAsia" w:ascii="宋体" w:hAnsi="宋体"/>
          <w:sz w:val="28"/>
          <w:szCs w:val="28"/>
        </w:rPr>
        <w:t>辆、特种专业技术用车</w:t>
      </w:r>
      <w:r>
        <w:rPr>
          <w:rFonts w:ascii="宋体"/>
          <w:sz w:val="28"/>
          <w:szCs w:val="28"/>
        </w:rPr>
        <w:t>0</w:t>
      </w:r>
      <w:r>
        <w:rPr>
          <w:rFonts w:ascii="宋体" w:hAnsi="宋体" w:eastAsia="MS Gothic" w:cs="MS Gothic"/>
          <w:sz w:val="28"/>
          <w:szCs w:val="28"/>
        </w:rPr>
        <w:t>?</w:t>
      </w:r>
      <w:r>
        <w:rPr>
          <w:rFonts w:hint="eastAsia" w:ascii="宋体" w:hAnsi="宋体"/>
          <w:sz w:val="28"/>
          <w:szCs w:val="28"/>
        </w:rPr>
        <w:t>辆、离退休干部用车</w:t>
      </w:r>
      <w:r>
        <w:rPr>
          <w:rFonts w:ascii="宋体"/>
          <w:sz w:val="28"/>
          <w:szCs w:val="28"/>
        </w:rPr>
        <w:t>0</w:t>
      </w:r>
      <w:r>
        <w:rPr>
          <w:rFonts w:hint="eastAsia" w:ascii="宋体" w:hAnsi="宋体"/>
          <w:sz w:val="28"/>
          <w:szCs w:val="28"/>
        </w:rPr>
        <w:t>辆、</w:t>
      </w:r>
      <w:r>
        <w:rPr>
          <w:rFonts w:ascii="宋体" w:hAnsi="宋体" w:eastAsia="MS Gothic" w:cs="MS Gothic"/>
          <w:sz w:val="28"/>
          <w:szCs w:val="28"/>
        </w:rPr>
        <w:t>?</w:t>
      </w:r>
      <w:r>
        <w:rPr>
          <w:rFonts w:hint="eastAsia" w:ascii="宋体" w:hAnsi="宋体"/>
          <w:sz w:val="28"/>
          <w:szCs w:val="28"/>
        </w:rPr>
        <w:t>其他用车</w:t>
      </w:r>
      <w:r>
        <w:rPr>
          <w:rFonts w:ascii="宋体"/>
          <w:sz w:val="28"/>
          <w:szCs w:val="28"/>
        </w:rPr>
        <w:t>0</w:t>
      </w:r>
      <w:r>
        <w:rPr>
          <w:rFonts w:hint="eastAsia" w:ascii="宋体" w:hAnsi="宋体"/>
          <w:sz w:val="28"/>
          <w:szCs w:val="28"/>
        </w:rPr>
        <w:t>辆；单位价值</w:t>
      </w:r>
      <w:r>
        <w:rPr>
          <w:rFonts w:ascii="宋体" w:hAnsi="宋体"/>
          <w:sz w:val="28"/>
          <w:szCs w:val="28"/>
        </w:rPr>
        <w:t>50</w:t>
      </w:r>
      <w:r>
        <w:rPr>
          <w:rFonts w:hint="eastAsia" w:ascii="宋体" w:hAnsi="宋体"/>
          <w:sz w:val="28"/>
          <w:szCs w:val="28"/>
        </w:rPr>
        <w:t>万元以上通用设备</w:t>
      </w:r>
      <w:r>
        <w:rPr>
          <w:rFonts w:ascii="宋体"/>
          <w:sz w:val="28"/>
          <w:szCs w:val="28"/>
        </w:rPr>
        <w:t>0</w:t>
      </w:r>
      <w:r>
        <w:rPr>
          <w:rFonts w:hint="eastAsia" w:ascii="宋体" w:hAnsi="宋体"/>
          <w:sz w:val="28"/>
          <w:szCs w:val="28"/>
        </w:rPr>
        <w:t>台（套）；单位价值</w:t>
      </w:r>
      <w:r>
        <w:rPr>
          <w:rFonts w:ascii="宋体" w:hAnsi="宋体"/>
          <w:sz w:val="28"/>
          <w:szCs w:val="28"/>
        </w:rPr>
        <w:t>100</w:t>
      </w:r>
      <w:r>
        <w:rPr>
          <w:rFonts w:hint="eastAsia" w:ascii="宋体" w:hAnsi="宋体"/>
          <w:sz w:val="28"/>
          <w:szCs w:val="28"/>
        </w:rPr>
        <w:t>万元以上专用设备</w:t>
      </w:r>
      <w:r>
        <w:rPr>
          <w:rFonts w:ascii="宋体"/>
          <w:sz w:val="28"/>
          <w:szCs w:val="28"/>
        </w:rPr>
        <w:t>0</w:t>
      </w:r>
      <w:r>
        <w:rPr>
          <w:rFonts w:hint="eastAsia" w:ascii="宋体" w:hAnsi="宋体"/>
          <w:sz w:val="28"/>
          <w:szCs w:val="28"/>
        </w:rPr>
        <w:t>台（套）。</w:t>
      </w:r>
    </w:p>
    <w:p>
      <w:pPr>
        <w:pStyle w:val="16"/>
        <w:rPr>
          <w:rFonts w:ascii="宋体"/>
          <w:sz w:val="28"/>
          <w:szCs w:val="28"/>
        </w:rPr>
      </w:pPr>
    </w:p>
    <w:p>
      <w:pPr>
        <w:pStyle w:val="7"/>
        <w:widowControl/>
        <w:spacing w:before="76" w:beforeAutospacing="0" w:after="76" w:afterAutospacing="0" w:line="450" w:lineRule="atLeast"/>
        <w:ind w:firstLine="141" w:firstLineChars="5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（六）重点效绩评价结果等预算绩效情况说明</w:t>
      </w:r>
    </w:p>
    <w:p>
      <w:pPr>
        <w:pStyle w:val="7"/>
        <w:widowControl/>
        <w:spacing w:before="76" w:beforeAutospacing="0" w:after="76" w:afterAutospacing="0" w:line="450" w:lineRule="atLeast"/>
        <w:ind w:firstLine="560" w:firstLineChars="200"/>
        <w:rPr>
          <w:rFonts w:ascii="宋体" w:cs="宋体"/>
          <w:color w:val="333333"/>
          <w:kern w:val="2"/>
          <w:sz w:val="28"/>
          <w:szCs w:val="28"/>
        </w:rPr>
      </w:pPr>
      <w:r>
        <w:rPr>
          <w:rFonts w:hint="eastAsia"/>
          <w:kern w:val="2"/>
          <w:sz w:val="28"/>
          <w:szCs w:val="28"/>
        </w:rPr>
        <w:t>本年度未开展预算绩效评价工作。</w:t>
      </w:r>
    </w:p>
    <w:p>
      <w:pPr>
        <w:shd w:val="clear" w:color="auto" w:fill="FFFFFF"/>
        <w:tabs>
          <w:tab w:val="left" w:pos="580"/>
        </w:tabs>
        <w:snapToGrid w:val="0"/>
        <w:spacing w:line="560" w:lineRule="atLeast"/>
        <w:rPr>
          <w:rFonts w:ascii="宋体"/>
          <w:b/>
          <w:color w:val="FF6600"/>
          <w:spacing w:val="2"/>
          <w:sz w:val="28"/>
          <w:szCs w:val="28"/>
        </w:rPr>
      </w:pPr>
      <w:r>
        <w:rPr>
          <w:rFonts w:hint="eastAsia" w:ascii="宋体" w:hAnsi="宋体"/>
          <w:b/>
          <w:spacing w:val="2"/>
          <w:sz w:val="28"/>
          <w:szCs w:val="28"/>
        </w:rPr>
        <w:t>（七）决算收支增减变化情况</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ascii="宋体" w:cs="宋体"/>
          <w:color w:val="333333"/>
          <w:sz w:val="28"/>
          <w:szCs w:val="28"/>
        </w:rPr>
        <w:t>1</w:t>
      </w:r>
      <w:r>
        <w:rPr>
          <w:rFonts w:hint="eastAsia" w:ascii="宋体" w:cs="宋体"/>
          <w:color w:val="333333"/>
          <w:sz w:val="28"/>
          <w:szCs w:val="28"/>
        </w:rPr>
        <w:t>、收入增减变化情况</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本年总收入</w:t>
      </w:r>
      <w:r>
        <w:rPr>
          <w:rFonts w:ascii="宋体" w:hAnsi="宋体" w:cs="宋体"/>
          <w:color w:val="333333"/>
          <w:sz w:val="28"/>
          <w:szCs w:val="28"/>
        </w:rPr>
        <w:t>47.52</w:t>
      </w:r>
      <w:r>
        <w:rPr>
          <w:rFonts w:hint="eastAsia" w:ascii="宋体" w:hAnsi="宋体" w:cs="宋体"/>
          <w:color w:val="333333"/>
          <w:sz w:val="28"/>
          <w:szCs w:val="28"/>
        </w:rPr>
        <w:t>万元。比去年的</w:t>
      </w:r>
      <w:r>
        <w:rPr>
          <w:rFonts w:ascii="宋体" w:hAnsi="宋体" w:cs="宋体"/>
          <w:color w:val="333333"/>
          <w:sz w:val="28"/>
          <w:szCs w:val="28"/>
        </w:rPr>
        <w:t>32.92</w:t>
      </w:r>
      <w:r>
        <w:rPr>
          <w:rFonts w:hint="eastAsia" w:ascii="宋体" w:hAnsi="宋体" w:cs="宋体"/>
          <w:color w:val="333333"/>
          <w:sz w:val="28"/>
          <w:szCs w:val="28"/>
        </w:rPr>
        <w:t>万元增加</w:t>
      </w:r>
      <w:r>
        <w:rPr>
          <w:rFonts w:ascii="宋体" w:hAnsi="宋体" w:cs="宋体"/>
          <w:color w:val="333333"/>
          <w:sz w:val="28"/>
          <w:szCs w:val="28"/>
        </w:rPr>
        <w:t>14.60</w:t>
      </w:r>
      <w:r>
        <w:rPr>
          <w:rFonts w:hint="eastAsia" w:ascii="宋体" w:hAnsi="宋体" w:cs="宋体"/>
          <w:color w:val="333333"/>
          <w:sz w:val="28"/>
          <w:szCs w:val="28"/>
        </w:rPr>
        <w:t>万元，增幅</w:t>
      </w:r>
      <w:r>
        <w:rPr>
          <w:rFonts w:ascii="宋体" w:hAnsi="宋体" w:cs="宋体"/>
          <w:color w:val="333333"/>
          <w:sz w:val="28"/>
          <w:szCs w:val="28"/>
        </w:rPr>
        <w:t>44.33%</w:t>
      </w:r>
      <w:r>
        <w:rPr>
          <w:rFonts w:hint="eastAsia" w:ascii="宋体" w:hAnsi="宋体" w:cs="宋体"/>
          <w:color w:val="333333"/>
          <w:sz w:val="28"/>
          <w:szCs w:val="28"/>
        </w:rPr>
        <w:t>，其主要原因为本年开展妇联活动增加。</w:t>
      </w:r>
    </w:p>
    <w:p>
      <w:pPr>
        <w:shd w:val="clear" w:color="auto" w:fill="FFFFFF"/>
        <w:tabs>
          <w:tab w:val="left" w:pos="580"/>
        </w:tabs>
        <w:snapToGrid w:val="0"/>
        <w:spacing w:line="560" w:lineRule="atLeast"/>
        <w:ind w:firstLine="560" w:firstLineChars="200"/>
        <w:rPr>
          <w:rFonts w:ascii="宋体" w:cs="宋体"/>
          <w:color w:val="333333"/>
          <w:sz w:val="28"/>
          <w:szCs w:val="28"/>
        </w:rPr>
      </w:pPr>
      <w:r>
        <w:rPr>
          <w:rFonts w:ascii="宋体" w:cs="宋体"/>
          <w:color w:val="333333"/>
          <w:sz w:val="28"/>
          <w:szCs w:val="28"/>
        </w:rPr>
        <w:t>2</w:t>
      </w:r>
      <w:r>
        <w:rPr>
          <w:rFonts w:hint="eastAsia" w:ascii="宋体" w:cs="宋体"/>
          <w:color w:val="333333"/>
          <w:sz w:val="28"/>
          <w:szCs w:val="28"/>
        </w:rPr>
        <w:t>、支出增减变化情况</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本年总支出为</w:t>
      </w:r>
      <w:r>
        <w:rPr>
          <w:rFonts w:ascii="宋体" w:hAnsi="宋体" w:cs="宋体"/>
          <w:color w:val="333333"/>
          <w:sz w:val="28"/>
          <w:szCs w:val="28"/>
        </w:rPr>
        <w:t>47.52</w:t>
      </w:r>
      <w:r>
        <w:rPr>
          <w:rFonts w:hint="eastAsia" w:ascii="宋体" w:hAnsi="宋体" w:cs="宋体"/>
          <w:color w:val="333333"/>
          <w:sz w:val="28"/>
          <w:szCs w:val="28"/>
        </w:rPr>
        <w:t>万元。比去年的</w:t>
      </w:r>
      <w:r>
        <w:rPr>
          <w:rFonts w:ascii="宋体" w:hAnsi="宋体" w:cs="宋体"/>
          <w:color w:val="333333"/>
          <w:sz w:val="28"/>
          <w:szCs w:val="28"/>
        </w:rPr>
        <w:t>32.92</w:t>
      </w:r>
      <w:r>
        <w:rPr>
          <w:rFonts w:hint="eastAsia" w:ascii="宋体" w:hAnsi="宋体" w:cs="宋体"/>
          <w:color w:val="333333"/>
          <w:sz w:val="28"/>
          <w:szCs w:val="28"/>
        </w:rPr>
        <w:t>万元增加</w:t>
      </w:r>
      <w:r>
        <w:rPr>
          <w:rFonts w:ascii="宋体" w:hAnsi="宋体" w:cs="宋体"/>
          <w:color w:val="333333"/>
          <w:sz w:val="28"/>
          <w:szCs w:val="28"/>
        </w:rPr>
        <w:t>14.60</w:t>
      </w:r>
      <w:r>
        <w:rPr>
          <w:rFonts w:hint="eastAsia" w:ascii="宋体" w:hAnsi="宋体" w:cs="宋体"/>
          <w:color w:val="333333"/>
          <w:sz w:val="28"/>
          <w:szCs w:val="28"/>
        </w:rPr>
        <w:t>万元，增幅</w:t>
      </w:r>
      <w:r>
        <w:rPr>
          <w:rFonts w:ascii="宋体" w:hAnsi="宋体" w:cs="宋体"/>
          <w:color w:val="333333"/>
          <w:sz w:val="28"/>
          <w:szCs w:val="28"/>
        </w:rPr>
        <w:t>44.33%</w:t>
      </w:r>
      <w:r>
        <w:rPr>
          <w:rFonts w:hint="eastAsia" w:ascii="宋体" w:hAnsi="宋体" w:cs="宋体"/>
          <w:color w:val="333333"/>
          <w:sz w:val="28"/>
          <w:szCs w:val="28"/>
        </w:rPr>
        <w:t>，其主要原因为本年开展妇联活动增加。其中一般公共预算财政拨款支出</w:t>
      </w:r>
      <w:r>
        <w:rPr>
          <w:rFonts w:ascii="宋体" w:hAnsi="宋体" w:cs="宋体"/>
          <w:color w:val="333333"/>
          <w:sz w:val="28"/>
          <w:szCs w:val="28"/>
        </w:rPr>
        <w:t>44.47</w:t>
      </w:r>
      <w:r>
        <w:rPr>
          <w:rFonts w:hint="eastAsia" w:ascii="宋体" w:hAnsi="宋体" w:cs="宋体"/>
          <w:color w:val="333333"/>
          <w:sz w:val="28"/>
          <w:szCs w:val="28"/>
        </w:rPr>
        <w:t>万元，比去年的</w:t>
      </w:r>
      <w:r>
        <w:rPr>
          <w:rFonts w:ascii="宋体" w:hAnsi="宋体" w:cs="宋体"/>
          <w:color w:val="333333"/>
          <w:sz w:val="28"/>
          <w:szCs w:val="28"/>
        </w:rPr>
        <w:t>30.62</w:t>
      </w:r>
      <w:r>
        <w:rPr>
          <w:rFonts w:hint="eastAsia" w:ascii="宋体" w:hAnsi="宋体" w:cs="宋体"/>
          <w:color w:val="333333"/>
          <w:sz w:val="28"/>
          <w:szCs w:val="28"/>
        </w:rPr>
        <w:t>万元增加</w:t>
      </w:r>
      <w:r>
        <w:rPr>
          <w:rFonts w:ascii="宋体" w:hAnsi="宋体" w:cs="宋体"/>
          <w:color w:val="333333"/>
          <w:sz w:val="28"/>
          <w:szCs w:val="28"/>
        </w:rPr>
        <w:t>13.85</w:t>
      </w:r>
      <w:r>
        <w:rPr>
          <w:rFonts w:hint="eastAsia" w:ascii="宋体" w:hAnsi="宋体" w:cs="宋体"/>
          <w:color w:val="333333"/>
          <w:sz w:val="28"/>
          <w:szCs w:val="28"/>
        </w:rPr>
        <w:t>万元，增幅</w:t>
      </w:r>
      <w:r>
        <w:rPr>
          <w:rFonts w:ascii="宋体" w:hAnsi="宋体" w:cs="宋体"/>
          <w:color w:val="333333"/>
          <w:sz w:val="28"/>
          <w:szCs w:val="28"/>
        </w:rPr>
        <w:t>45.23%</w:t>
      </w:r>
      <w:r>
        <w:rPr>
          <w:rFonts w:hint="eastAsia" w:ascii="宋体" w:hAnsi="宋体" w:cs="宋体"/>
          <w:color w:val="333333"/>
          <w:sz w:val="28"/>
          <w:szCs w:val="28"/>
        </w:rPr>
        <w:t>，其主要原因为本年开展妇联活动增加</w:t>
      </w:r>
      <w:r>
        <w:rPr>
          <w:rFonts w:hint="eastAsia" w:ascii="宋体" w:hAnsi="宋体" w:cs="仿宋_GB2312"/>
          <w:color w:val="000000"/>
          <w:sz w:val="28"/>
          <w:szCs w:val="28"/>
        </w:rPr>
        <w:t>所致，</w:t>
      </w:r>
      <w:r>
        <w:rPr>
          <w:rFonts w:hint="eastAsia" w:ascii="宋体" w:hAnsi="宋体" w:cs="宋体"/>
          <w:color w:val="333333"/>
          <w:sz w:val="28"/>
          <w:szCs w:val="28"/>
        </w:rPr>
        <w:t>与年初预算数</w:t>
      </w:r>
      <w:r>
        <w:rPr>
          <w:rFonts w:ascii="宋体" w:hAnsi="宋体" w:cs="宋体"/>
          <w:color w:val="333333"/>
          <w:sz w:val="28"/>
          <w:szCs w:val="28"/>
        </w:rPr>
        <w:t>26.56</w:t>
      </w:r>
      <w:r>
        <w:rPr>
          <w:rFonts w:hint="eastAsia" w:ascii="宋体" w:hAnsi="宋体" w:cs="宋体"/>
          <w:color w:val="333333"/>
          <w:sz w:val="28"/>
          <w:szCs w:val="28"/>
        </w:rPr>
        <w:t>万元对比增加</w:t>
      </w:r>
      <w:r>
        <w:rPr>
          <w:rFonts w:ascii="宋体" w:hAnsi="宋体" w:cs="宋体"/>
          <w:color w:val="333333"/>
          <w:sz w:val="28"/>
          <w:szCs w:val="28"/>
        </w:rPr>
        <w:t>17.91</w:t>
      </w:r>
      <w:r>
        <w:rPr>
          <w:rFonts w:hint="eastAsia" w:ascii="宋体" w:hAnsi="宋体" w:cs="宋体"/>
          <w:color w:val="333333"/>
          <w:sz w:val="28"/>
          <w:szCs w:val="28"/>
        </w:rPr>
        <w:t>万元，增幅</w:t>
      </w:r>
      <w:r>
        <w:rPr>
          <w:rFonts w:ascii="宋体" w:hAnsi="宋体" w:cs="宋体"/>
          <w:color w:val="333333"/>
          <w:sz w:val="28"/>
          <w:szCs w:val="28"/>
        </w:rPr>
        <w:t>67.43%</w:t>
      </w:r>
      <w:r>
        <w:rPr>
          <w:rFonts w:hint="eastAsia" w:ascii="宋体" w:hAnsi="宋体" w:cs="宋体"/>
          <w:color w:val="333333"/>
          <w:sz w:val="28"/>
          <w:szCs w:val="28"/>
        </w:rPr>
        <w:t>，其主要原因为</w:t>
      </w:r>
      <w:r>
        <w:rPr>
          <w:rFonts w:hint="eastAsia" w:ascii="宋体" w:hAnsi="宋体" w:cs="仿宋_GB2312"/>
          <w:color w:val="000000"/>
          <w:sz w:val="28"/>
          <w:szCs w:val="28"/>
        </w:rPr>
        <w:t>本年</w:t>
      </w:r>
      <w:r>
        <w:rPr>
          <w:rFonts w:hint="eastAsia" w:ascii="宋体" w:hAnsi="宋体" w:cs="宋体"/>
          <w:color w:val="333333"/>
          <w:sz w:val="28"/>
          <w:szCs w:val="28"/>
        </w:rPr>
        <w:t>开展妇联活动增加</w:t>
      </w:r>
      <w:r>
        <w:rPr>
          <w:rFonts w:hint="eastAsia" w:ascii="宋体" w:hAnsi="宋体" w:cs="仿宋_GB2312"/>
          <w:color w:val="000000"/>
          <w:sz w:val="28"/>
          <w:szCs w:val="28"/>
        </w:rPr>
        <w:t>所致，</w:t>
      </w:r>
    </w:p>
    <w:p>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color w:val="333333"/>
          <w:shd w:val="clear" w:color="auto" w:fill="FFFFFF"/>
        </w:rPr>
        <w:br w:type="page"/>
      </w:r>
      <w:r>
        <w:rPr>
          <w:rStyle w:val="10"/>
          <w:rFonts w:hint="eastAsia" w:ascii="微软雅黑" w:hAnsi="微软雅黑" w:eastAsia="微软雅黑" w:cs="微软雅黑"/>
          <w:color w:val="333333"/>
          <w:shd w:val="clear" w:color="auto" w:fill="FFFFFF"/>
        </w:rPr>
        <w:t>第四部分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名词解释</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一、财政补助收入：指县级财政当年拨付的资金。</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二、其他收入：指除“财政拨款收入”、“上级补助收入”、“事业收入”、“经营收入”等以外的收入。主要是存款利息收入等。</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三、年初结转和结余：指以前年度尚未完成、结转到本年按有关规定继续使用的资金。</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四、一般公共服务（类）行政运行（项）：指县行政单位及参照公务员管理事业单位用于保障机构正常运行、开展日常工作的基本支出。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五、一般公共服务（类）一般行政管理事务（项）：指县行政单位及参照公务员管理事业单位用于开展立法调研、财政信息宣传、非税收入征管等未单独设置项级科目的专门性财政管理工作的项目支出。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六、一般公共服务（类）机关服务（项）：指县黄石港区妇联服务中心为机关提供办公楼日常维修、维护等后勤保障服务的支出。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七、一般公共服务（类）其他一般公共服务支出（款）其他一般公共服务支出（项）：指黄石港区妇联用于其他一般公共服务方面的支出。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八、教育（类）普通教育（款）高等教育（项）：指黄石港区妇联支持地方高校的重点发展和特色办学，组织专家对省属院校申报的建设规划和项目预算进行评审等相关工作的支出。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九、社会保障和就业</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类</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行政事业单位离退休（款）归口管理的行政单位离退休（项）：指黄石港区妇联用于离退休人员的支出、退休人员支出，以及提供管理服务工作的离退休干部处的支出。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十、社会保障和就业</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类</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行政事业单位离退休（款）其他行政事业单位离退休支出（项）：指黄石港区妇联用于离退休方面的其他支出。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十一、医疗卫生与计划生育（类）医疗保障（款）行政单位医疗（项）：指黄石港区妇联用于机关干部职工及离退休人员医疗方面的支出。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十二、住房保障（类）住房改革支出（款）购房补贴（项）：指按照相关住房分配货币化改革的政策规定和标准，对无房和住房未达标职工发放的住房分配货币化补贴资金。</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十三、年末结转和结余：指本年度或以前年度预算安排、因客观条件发生变化无法按原计划实施，需要延迟到以后年度按有关规定继续使用的资金。</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十四、基本支出：指为保障机构正常运转、完成日常工作任务而发生的人员支出（包括基本工资、津贴补贴等）和公用支出（包括办公费、水电费、邮电费、交通费、差旅费等）。</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十五、项目支出：指在基本支出之外为完成特定行政任务和事业发展目标所发生的支出。</w:t>
      </w:r>
    </w:p>
    <w:p>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十六、“三公”经费：是指用财政拨款安排的因公出国（境）费、公务用车购置及运行维护费、公务接待费。</w:t>
      </w:r>
    </w:p>
    <w:p>
      <w:pPr>
        <w:rPr>
          <w:rFonts w:ascii="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62A9"/>
    <w:multiLevelType w:val="singleLevel"/>
    <w:tmpl w:val="8B8E62A9"/>
    <w:lvl w:ilvl="0" w:tentative="0">
      <w:start w:val="2"/>
      <w:numFmt w:val="chineseCounting"/>
      <w:suff w:val="space"/>
      <w:lvlText w:val="第%1部分"/>
      <w:lvlJc w:val="left"/>
      <w:rPr>
        <w:rFonts w:hint="eastAsia" w:cs="Times New Roman"/>
      </w:rPr>
    </w:lvl>
  </w:abstractNum>
  <w:abstractNum w:abstractNumId="1">
    <w:nsid w:val="51CEAA6F"/>
    <w:multiLevelType w:val="singleLevel"/>
    <w:tmpl w:val="51CEAA6F"/>
    <w:lvl w:ilvl="0" w:tentative="0">
      <w:start w:val="2"/>
      <w:numFmt w:val="chineseCounting"/>
      <w:suff w:val="nothing"/>
      <w:lvlText w:val="（%1）"/>
      <w:lvlJc w:val="left"/>
      <w:pPr>
        <w:ind w:left="28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0MjZhZWQxZDJkN2Q1OTIxZTI5MTJlYjM0YzA0NjQifQ=="/>
  </w:docVars>
  <w:rsids>
    <w:rsidRoot w:val="00170DD2"/>
    <w:rsid w:val="0001244E"/>
    <w:rsid w:val="00022768"/>
    <w:rsid w:val="000331AD"/>
    <w:rsid w:val="00040338"/>
    <w:rsid w:val="000802A7"/>
    <w:rsid w:val="00080D3B"/>
    <w:rsid w:val="0008345A"/>
    <w:rsid w:val="00097917"/>
    <w:rsid w:val="000B1200"/>
    <w:rsid w:val="000B23E6"/>
    <w:rsid w:val="000B65A1"/>
    <w:rsid w:val="000C4D80"/>
    <w:rsid w:val="000E1EE2"/>
    <w:rsid w:val="00123503"/>
    <w:rsid w:val="00131190"/>
    <w:rsid w:val="001334CB"/>
    <w:rsid w:val="00170DD2"/>
    <w:rsid w:val="00196C10"/>
    <w:rsid w:val="00197A58"/>
    <w:rsid w:val="001B1AED"/>
    <w:rsid w:val="001C7B07"/>
    <w:rsid w:val="001D0CB8"/>
    <w:rsid w:val="001E5946"/>
    <w:rsid w:val="001F2E3C"/>
    <w:rsid w:val="00203A55"/>
    <w:rsid w:val="00214019"/>
    <w:rsid w:val="00231659"/>
    <w:rsid w:val="0023530E"/>
    <w:rsid w:val="00253AE8"/>
    <w:rsid w:val="002540A7"/>
    <w:rsid w:val="00260CAD"/>
    <w:rsid w:val="0027033C"/>
    <w:rsid w:val="00271F32"/>
    <w:rsid w:val="00285166"/>
    <w:rsid w:val="002A7115"/>
    <w:rsid w:val="002C02B4"/>
    <w:rsid w:val="002F7A4A"/>
    <w:rsid w:val="00317DE9"/>
    <w:rsid w:val="00317EB5"/>
    <w:rsid w:val="003755B4"/>
    <w:rsid w:val="0039285D"/>
    <w:rsid w:val="003A7B3B"/>
    <w:rsid w:val="003C766E"/>
    <w:rsid w:val="003F728D"/>
    <w:rsid w:val="004161D7"/>
    <w:rsid w:val="00490031"/>
    <w:rsid w:val="004D4FD1"/>
    <w:rsid w:val="004E4578"/>
    <w:rsid w:val="004F2605"/>
    <w:rsid w:val="0051733C"/>
    <w:rsid w:val="00541AF3"/>
    <w:rsid w:val="00566822"/>
    <w:rsid w:val="0057221E"/>
    <w:rsid w:val="00583A54"/>
    <w:rsid w:val="00583C68"/>
    <w:rsid w:val="00583E92"/>
    <w:rsid w:val="0059077F"/>
    <w:rsid w:val="005C21A9"/>
    <w:rsid w:val="005C721F"/>
    <w:rsid w:val="0061418D"/>
    <w:rsid w:val="00624743"/>
    <w:rsid w:val="00651CCD"/>
    <w:rsid w:val="006573A1"/>
    <w:rsid w:val="00681E92"/>
    <w:rsid w:val="00684522"/>
    <w:rsid w:val="006B05F9"/>
    <w:rsid w:val="006D3EAB"/>
    <w:rsid w:val="006D6E7A"/>
    <w:rsid w:val="006E04EF"/>
    <w:rsid w:val="006E4A61"/>
    <w:rsid w:val="006F1C98"/>
    <w:rsid w:val="006F1D94"/>
    <w:rsid w:val="00703532"/>
    <w:rsid w:val="00715FAE"/>
    <w:rsid w:val="00721EB6"/>
    <w:rsid w:val="007431E7"/>
    <w:rsid w:val="00746A94"/>
    <w:rsid w:val="007817E9"/>
    <w:rsid w:val="007C0EAF"/>
    <w:rsid w:val="007F2B2B"/>
    <w:rsid w:val="0081133D"/>
    <w:rsid w:val="00826C35"/>
    <w:rsid w:val="0083596F"/>
    <w:rsid w:val="008658D2"/>
    <w:rsid w:val="00881634"/>
    <w:rsid w:val="00895D19"/>
    <w:rsid w:val="00897E70"/>
    <w:rsid w:val="008B57F3"/>
    <w:rsid w:val="008C13D9"/>
    <w:rsid w:val="008F2E79"/>
    <w:rsid w:val="00914803"/>
    <w:rsid w:val="0097113B"/>
    <w:rsid w:val="009731EC"/>
    <w:rsid w:val="0097476B"/>
    <w:rsid w:val="009A3373"/>
    <w:rsid w:val="009A60FF"/>
    <w:rsid w:val="00A03566"/>
    <w:rsid w:val="00A07FB6"/>
    <w:rsid w:val="00A10888"/>
    <w:rsid w:val="00A10B3C"/>
    <w:rsid w:val="00A301CB"/>
    <w:rsid w:val="00A73EB1"/>
    <w:rsid w:val="00A75C64"/>
    <w:rsid w:val="00A76965"/>
    <w:rsid w:val="00A770A0"/>
    <w:rsid w:val="00AE0C19"/>
    <w:rsid w:val="00B3672D"/>
    <w:rsid w:val="00B47B1D"/>
    <w:rsid w:val="00B5270A"/>
    <w:rsid w:val="00B56395"/>
    <w:rsid w:val="00B60F83"/>
    <w:rsid w:val="00B74B2C"/>
    <w:rsid w:val="00BA751A"/>
    <w:rsid w:val="00BB445A"/>
    <w:rsid w:val="00BC7669"/>
    <w:rsid w:val="00BE5B9B"/>
    <w:rsid w:val="00C05178"/>
    <w:rsid w:val="00C46D24"/>
    <w:rsid w:val="00C516FF"/>
    <w:rsid w:val="00C60612"/>
    <w:rsid w:val="00CA1FCA"/>
    <w:rsid w:val="00CC1016"/>
    <w:rsid w:val="00CD75B4"/>
    <w:rsid w:val="00CE5C5C"/>
    <w:rsid w:val="00CE5C98"/>
    <w:rsid w:val="00D522A3"/>
    <w:rsid w:val="00D65416"/>
    <w:rsid w:val="00D930CC"/>
    <w:rsid w:val="00DD145B"/>
    <w:rsid w:val="00E234DD"/>
    <w:rsid w:val="00E55460"/>
    <w:rsid w:val="00E57950"/>
    <w:rsid w:val="00E602A3"/>
    <w:rsid w:val="00E60EAC"/>
    <w:rsid w:val="00E83812"/>
    <w:rsid w:val="00E87295"/>
    <w:rsid w:val="00EA6A69"/>
    <w:rsid w:val="00EB4089"/>
    <w:rsid w:val="00EC4A96"/>
    <w:rsid w:val="00EC6FC2"/>
    <w:rsid w:val="00ED32C3"/>
    <w:rsid w:val="00EE6F80"/>
    <w:rsid w:val="00EF7E83"/>
    <w:rsid w:val="00F10457"/>
    <w:rsid w:val="00F17605"/>
    <w:rsid w:val="00F225F2"/>
    <w:rsid w:val="00F7500A"/>
    <w:rsid w:val="00F9633F"/>
    <w:rsid w:val="00FA3DF1"/>
    <w:rsid w:val="00FB722C"/>
    <w:rsid w:val="00FE1B99"/>
    <w:rsid w:val="04B658F9"/>
    <w:rsid w:val="0664587B"/>
    <w:rsid w:val="090329AF"/>
    <w:rsid w:val="09FF39B4"/>
    <w:rsid w:val="0E8160BF"/>
    <w:rsid w:val="10157CA5"/>
    <w:rsid w:val="10253966"/>
    <w:rsid w:val="11411182"/>
    <w:rsid w:val="13FA6E94"/>
    <w:rsid w:val="160B7BD1"/>
    <w:rsid w:val="187E6C04"/>
    <w:rsid w:val="19390A67"/>
    <w:rsid w:val="1B053A85"/>
    <w:rsid w:val="1DA72E01"/>
    <w:rsid w:val="219E41B4"/>
    <w:rsid w:val="255E033E"/>
    <w:rsid w:val="2571197D"/>
    <w:rsid w:val="27390172"/>
    <w:rsid w:val="2CCE2491"/>
    <w:rsid w:val="2DE74E08"/>
    <w:rsid w:val="2F081AB6"/>
    <w:rsid w:val="310A5641"/>
    <w:rsid w:val="401A2F36"/>
    <w:rsid w:val="4511756A"/>
    <w:rsid w:val="457D21A1"/>
    <w:rsid w:val="45EF63DD"/>
    <w:rsid w:val="507C1CF5"/>
    <w:rsid w:val="51CB73F0"/>
    <w:rsid w:val="51CE028F"/>
    <w:rsid w:val="55736190"/>
    <w:rsid w:val="57193076"/>
    <w:rsid w:val="61773BFF"/>
    <w:rsid w:val="621B3808"/>
    <w:rsid w:val="65496BD3"/>
    <w:rsid w:val="67E4782B"/>
    <w:rsid w:val="735F6AA0"/>
    <w:rsid w:val="746766E2"/>
    <w:rsid w:val="74EA7B66"/>
    <w:rsid w:val="78186405"/>
    <w:rsid w:val="7D417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qFormat/>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semiHidden/>
    <w:qFormat/>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pa-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
    <w:name w:val="Normal (Web)2"/>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19</Pages>
  <Words>3694</Words>
  <Characters>4070</Characters>
  <Lines>0</Lines>
  <Paragraphs>0</Paragraphs>
  <TotalTime>114</TotalTime>
  <ScaleCrop>false</ScaleCrop>
  <LinksUpToDate>false</LinksUpToDate>
  <CharactersWithSpaces>4083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南有乔木</cp:lastModifiedBy>
  <dcterms:modified xsi:type="dcterms:W3CDTF">2023-08-23T09:05:10Z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713A3826E645424DB387F5357C3B2227</vt:lpwstr>
  </property>
</Properties>
</file>