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39E59">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妇联</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年决算公开</w:t>
      </w:r>
    </w:p>
    <w:p w14:paraId="471B3048">
      <w:pPr>
        <w:pStyle w:val="7"/>
        <w:widowControl/>
        <w:spacing w:before="76" w:beforeAutospacing="0" w:after="76" w:afterAutospacing="0" w:line="450" w:lineRule="atLeast"/>
        <w:ind w:firstLine="420"/>
        <w:jc w:val="center"/>
        <w:rPr>
          <w:color w:val="333333"/>
        </w:rPr>
      </w:pPr>
      <w:bookmarkStart w:id="0" w:name="_GoBack"/>
      <w:r>
        <w:rPr>
          <w:rStyle w:val="10"/>
          <w:rFonts w:hint="eastAsia" w:ascii="微软雅黑" w:hAnsi="微软雅黑" w:eastAsia="微软雅黑" w:cs="微软雅黑"/>
          <w:color w:val="333333"/>
          <w:shd w:val="clear" w:color="auto" w:fill="FFFFFF"/>
        </w:rPr>
        <w:t>黄石港区妇联</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年决算公开</w:t>
      </w:r>
    </w:p>
    <w:bookmarkEnd w:id="0"/>
    <w:p w14:paraId="045E64B7">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14:paraId="7DA60BA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14:paraId="517BAABB">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181C150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6E81E7FB">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年部门决算表</w:t>
      </w:r>
    </w:p>
    <w:p w14:paraId="1B3D340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14:paraId="3C7C0B2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14:paraId="7CDB9C8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14:paraId="6D5CD98E">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14:paraId="6B3DFCB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14:paraId="3E6EBCA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14:paraId="4B8674D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14:paraId="2A619C7C">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2D6E622A">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14:paraId="72D00AF3">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2021</w:t>
      </w:r>
      <w:r>
        <w:rPr>
          <w:rFonts w:hint="eastAsia" w:ascii="微软雅黑" w:hAnsi="微软雅黑" w:eastAsia="微软雅黑" w:cs="微软雅黑"/>
          <w:color w:val="333333"/>
          <w:shd w:val="clear" w:color="auto" w:fill="FFFFFF"/>
        </w:rPr>
        <w:t>年部门决算情况说明</w:t>
      </w:r>
    </w:p>
    <w:p w14:paraId="221DF35E">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6FDF586D">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6333031D">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4304CA17">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7AF68F3F">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6B43D824">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22FD72D3">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14:paraId="4F96C706">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14:paraId="61E93DA3">
      <w:pPr>
        <w:pStyle w:val="7"/>
        <w:widowControl/>
        <w:spacing w:before="76" w:beforeAutospacing="0" w:after="76" w:afterAutospacing="0" w:line="450" w:lineRule="atLeast"/>
        <w:ind w:firstLine="480" w:firstLineChars="20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14:paraId="3AAE25C6">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14:paraId="43BFDA9C">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14:paraId="57653ED2">
      <w:pPr>
        <w:pStyle w:val="7"/>
        <w:widowControl/>
        <w:spacing w:before="76" w:beforeAutospacing="0" w:after="76" w:afterAutospacing="0" w:line="450" w:lineRule="atLeast"/>
        <w:ind w:firstLine="240" w:firstLineChars="100"/>
        <w:jc w:val="center"/>
        <w:rPr>
          <w:rStyle w:val="10"/>
          <w:rFonts w:ascii="微软雅黑" w:hAnsi="微软雅黑" w:eastAsia="微软雅黑" w:cs="微软雅黑"/>
          <w:color w:val="333333"/>
          <w:shd w:val="clear" w:color="auto" w:fill="FFFFFF"/>
        </w:rPr>
      </w:pPr>
    </w:p>
    <w:p w14:paraId="34BCC7C8">
      <w:pPr>
        <w:pStyle w:val="7"/>
        <w:widowControl/>
        <w:spacing w:before="76" w:beforeAutospacing="0" w:after="76" w:afterAutospacing="0" w:line="450" w:lineRule="atLeast"/>
        <w:ind w:firstLine="240" w:firstLineChars="100"/>
        <w:jc w:val="center"/>
        <w:rPr>
          <w:color w:val="333333"/>
        </w:rPr>
      </w:pP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w:t>
      </w:r>
    </w:p>
    <w:p w14:paraId="0835FB92">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部门基本情况</w:t>
      </w:r>
    </w:p>
    <w:p w14:paraId="30CF6F54">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8"/>
          <w:szCs w:val="28"/>
        </w:rPr>
        <w:t>（</w:t>
      </w:r>
      <w:r>
        <w:rPr>
          <w:rFonts w:hint="eastAsia" w:ascii="宋体" w:hAnsi="宋体"/>
          <w:sz w:val="28"/>
          <w:szCs w:val="28"/>
        </w:rPr>
        <w:t>一）主要职责</w:t>
      </w:r>
    </w:p>
    <w:p w14:paraId="0367B09D">
      <w:pPr>
        <w:spacing w:line="620" w:lineRule="exact"/>
        <w:rPr>
          <w:rFonts w:ascii="宋体" w:cs="宋体"/>
          <w:kern w:val="0"/>
          <w:sz w:val="28"/>
          <w:szCs w:val="28"/>
        </w:rPr>
      </w:pPr>
      <w:r>
        <w:rPr>
          <w:rFonts w:ascii="宋体" w:hAnsi="宋体" w:cs="宋体"/>
          <w:kern w:val="0"/>
          <w:sz w:val="28"/>
          <w:szCs w:val="28"/>
          <w:lang w:val="zh-CN"/>
        </w:rPr>
        <w:t xml:space="preserve">    </w:t>
      </w:r>
      <w:r>
        <w:rPr>
          <w:rFonts w:hint="eastAsia" w:ascii="宋体" w:hAnsi="宋体" w:cs="宋体"/>
          <w:kern w:val="0"/>
          <w:sz w:val="28"/>
          <w:szCs w:val="28"/>
        </w:rPr>
        <w:t>黄石市黄石港区妇女联合会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现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ascii="宋体" w:cs="宋体"/>
          <w:kern w:val="0"/>
          <w:sz w:val="28"/>
          <w:szCs w:val="28"/>
        </w:rPr>
        <w:t> </w:t>
      </w:r>
    </w:p>
    <w:p w14:paraId="5A8C24B3">
      <w:pPr>
        <w:numPr>
          <w:ilvl w:val="0"/>
          <w:numId w:val="1"/>
        </w:numPr>
        <w:spacing w:line="620" w:lineRule="exact"/>
        <w:rPr>
          <w:rFonts w:ascii="宋体"/>
          <w:sz w:val="28"/>
          <w:szCs w:val="28"/>
        </w:rPr>
      </w:pPr>
      <w:r>
        <w:rPr>
          <w:rFonts w:hint="eastAsia" w:ascii="宋体" w:hAnsi="宋体"/>
          <w:sz w:val="28"/>
          <w:szCs w:val="28"/>
        </w:rPr>
        <w:t>机构设置：</w:t>
      </w:r>
    </w:p>
    <w:p w14:paraId="704D5222">
      <w:pPr>
        <w:spacing w:line="620" w:lineRule="exact"/>
        <w:ind w:firstLine="560" w:firstLineChars="200"/>
        <w:rPr>
          <w:rFonts w:ascii="宋体" w:cs="宋体"/>
          <w:kern w:val="0"/>
          <w:sz w:val="28"/>
          <w:szCs w:val="28"/>
        </w:rPr>
      </w:pPr>
      <w:r>
        <w:rPr>
          <w:rFonts w:hint="eastAsia" w:ascii="宋体" w:hAnsi="宋体" w:cs="宋体"/>
          <w:kern w:val="0"/>
          <w:sz w:val="28"/>
          <w:szCs w:val="28"/>
        </w:rPr>
        <w:t>下设办公室。</w:t>
      </w:r>
    </w:p>
    <w:p w14:paraId="07FD97FE">
      <w:pPr>
        <w:shd w:val="clear" w:color="auto" w:fill="FFFFFF"/>
        <w:spacing w:line="560" w:lineRule="atLeast"/>
        <w:ind w:firstLine="560"/>
        <w:rPr>
          <w:rFonts w:ascii="宋体" w:cs="宋体"/>
          <w:sz w:val="28"/>
          <w:szCs w:val="28"/>
        </w:rPr>
      </w:pPr>
      <w:r>
        <w:rPr>
          <w:rFonts w:hint="eastAsia" w:ascii="仿宋_GB2312" w:hAnsi="宋体" w:eastAsia="仿宋_GB2312" w:cs="宋体"/>
          <w:sz w:val="32"/>
          <w:szCs w:val="32"/>
        </w:rPr>
        <w:t>（三）</w:t>
      </w:r>
      <w:r>
        <w:rPr>
          <w:rFonts w:hint="eastAsia" w:ascii="宋体" w:hAnsi="宋体" w:cs="宋体"/>
          <w:sz w:val="28"/>
          <w:szCs w:val="28"/>
        </w:rPr>
        <w:t>人员情况</w:t>
      </w:r>
    </w:p>
    <w:p w14:paraId="080230CE">
      <w:pPr>
        <w:ind w:firstLine="480"/>
        <w:rPr>
          <w:rFonts w:ascii="宋体" w:cs="宋体"/>
          <w:color w:val="333333"/>
          <w:kern w:val="0"/>
          <w:sz w:val="28"/>
          <w:szCs w:val="28"/>
        </w:rPr>
      </w:pPr>
      <w:r>
        <w:rPr>
          <w:rFonts w:hint="eastAsia" w:ascii="宋体" w:hAnsi="宋体" w:cs="仿宋"/>
          <w:color w:val="000000"/>
          <w:sz w:val="28"/>
          <w:szCs w:val="28"/>
        </w:rPr>
        <w:t>本部门年末实有人数</w:t>
      </w:r>
      <w:r>
        <w:rPr>
          <w:rFonts w:ascii="宋体" w:hAnsi="宋体" w:cs="仿宋"/>
          <w:color w:val="000000"/>
          <w:sz w:val="28"/>
          <w:szCs w:val="28"/>
        </w:rPr>
        <w:t>2</w:t>
      </w:r>
      <w:r>
        <w:rPr>
          <w:rFonts w:hint="eastAsia" w:ascii="宋体" w:hAnsi="宋体" w:cs="仿宋"/>
          <w:color w:val="000000"/>
          <w:sz w:val="28"/>
          <w:szCs w:val="28"/>
        </w:rPr>
        <w:t>人，与去年末</w:t>
      </w:r>
      <w:r>
        <w:rPr>
          <w:rFonts w:ascii="宋体" w:hAnsi="宋体" w:cs="仿宋"/>
          <w:color w:val="000000"/>
          <w:sz w:val="28"/>
          <w:szCs w:val="28"/>
        </w:rPr>
        <w:t>1</w:t>
      </w:r>
      <w:r>
        <w:rPr>
          <w:rFonts w:hint="eastAsia" w:ascii="宋体" w:hAnsi="宋体" w:cs="仿宋"/>
          <w:color w:val="000000"/>
          <w:sz w:val="28"/>
          <w:szCs w:val="28"/>
        </w:rPr>
        <w:t>人相比增加</w:t>
      </w:r>
      <w:r>
        <w:rPr>
          <w:rFonts w:ascii="宋体" w:hAnsi="宋体" w:cs="仿宋"/>
          <w:color w:val="000000"/>
          <w:sz w:val="28"/>
          <w:szCs w:val="28"/>
        </w:rPr>
        <w:t>1</w:t>
      </w:r>
      <w:r>
        <w:rPr>
          <w:rFonts w:hint="eastAsia" w:ascii="宋体" w:hAnsi="宋体" w:cs="仿宋"/>
          <w:color w:val="000000"/>
          <w:sz w:val="28"/>
          <w:szCs w:val="28"/>
        </w:rPr>
        <w:t>人。</w:t>
      </w:r>
    </w:p>
    <w:p w14:paraId="69EDF623">
      <w:pPr>
        <w:pStyle w:val="7"/>
        <w:widowControl/>
        <w:numPr>
          <w:ilvl w:val="0"/>
          <w:numId w:val="2"/>
        </w:numPr>
        <w:spacing w:before="76" w:beforeAutospacing="0" w:after="76" w:afterAutospacing="0" w:line="450" w:lineRule="atLeast"/>
        <w:ind w:firstLine="420"/>
      </w:pPr>
      <w:r>
        <w:rPr>
          <w:rStyle w:val="10"/>
          <w:rFonts w:ascii="微软雅黑" w:hAnsi="微软雅黑" w:eastAsia="微软雅黑" w:cs="微软雅黑"/>
          <w:color w:val="333333"/>
          <w:shd w:val="clear" w:color="auto" w:fill="FFFFFF"/>
        </w:rPr>
        <w:br w:type="page"/>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2021</w:t>
      </w:r>
      <w:r>
        <w:rPr>
          <w:rStyle w:val="10"/>
          <w:rFonts w:hint="eastAsia" w:ascii="微软雅黑" w:hAnsi="微软雅黑" w:eastAsia="微软雅黑" w:cs="微软雅黑"/>
          <w:color w:val="333333"/>
          <w:shd w:val="clear" w:color="auto" w:fill="FFFFFF"/>
        </w:rPr>
        <w:t>年部门决算表</w:t>
      </w:r>
    </w:p>
    <w:p w14:paraId="665B9EBF">
      <w:pPr>
        <w:pStyle w:val="7"/>
        <w:widowControl/>
        <w:spacing w:before="76" w:beforeAutospacing="0" w:after="76" w:afterAutospacing="0" w:line="450" w:lineRule="atLeast"/>
      </w:pPr>
      <w:r>
        <w:drawing>
          <wp:inline distT="0" distB="0" distL="114300" distR="114300">
            <wp:extent cx="7467600" cy="483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67600" cy="4838700"/>
                    </a:xfrm>
                    <a:prstGeom prst="rect">
                      <a:avLst/>
                    </a:prstGeom>
                    <a:noFill/>
                    <a:ln>
                      <a:noFill/>
                    </a:ln>
                  </pic:spPr>
                </pic:pic>
              </a:graphicData>
            </a:graphic>
          </wp:inline>
        </w:drawing>
      </w:r>
    </w:p>
    <w:p w14:paraId="1EC8D944">
      <w:pPr>
        <w:pStyle w:val="7"/>
        <w:widowControl/>
        <w:spacing w:before="76" w:beforeAutospacing="0" w:after="76" w:afterAutospacing="0" w:line="450" w:lineRule="atLeast"/>
      </w:pPr>
      <w:r>
        <w:drawing>
          <wp:inline distT="0" distB="0" distL="114300" distR="114300">
            <wp:extent cx="8810625" cy="19526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810625" cy="1952625"/>
                    </a:xfrm>
                    <a:prstGeom prst="rect">
                      <a:avLst/>
                    </a:prstGeom>
                    <a:noFill/>
                    <a:ln>
                      <a:noFill/>
                    </a:ln>
                  </pic:spPr>
                </pic:pic>
              </a:graphicData>
            </a:graphic>
          </wp:inline>
        </w:drawing>
      </w:r>
    </w:p>
    <w:p w14:paraId="176A98D6">
      <w:pPr>
        <w:pStyle w:val="7"/>
        <w:widowControl/>
        <w:spacing w:before="76" w:beforeAutospacing="0" w:after="76" w:afterAutospacing="0" w:line="450" w:lineRule="atLeast"/>
      </w:pPr>
    </w:p>
    <w:p w14:paraId="572DB86C">
      <w:pPr>
        <w:pStyle w:val="7"/>
        <w:widowControl/>
        <w:spacing w:before="76" w:beforeAutospacing="0" w:after="76" w:afterAutospacing="0" w:line="450" w:lineRule="atLeast"/>
      </w:pPr>
    </w:p>
    <w:p w14:paraId="4FBED1C5">
      <w:pPr>
        <w:pStyle w:val="7"/>
        <w:widowControl/>
        <w:spacing w:before="76" w:beforeAutospacing="0" w:after="76" w:afterAutospacing="0" w:line="450" w:lineRule="atLeast"/>
      </w:pPr>
      <w:r>
        <w:drawing>
          <wp:inline distT="0" distB="0" distL="114300" distR="114300">
            <wp:extent cx="8810625" cy="2238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8810625" cy="2238375"/>
                    </a:xfrm>
                    <a:prstGeom prst="rect">
                      <a:avLst/>
                    </a:prstGeom>
                    <a:noFill/>
                    <a:ln>
                      <a:noFill/>
                    </a:ln>
                  </pic:spPr>
                </pic:pic>
              </a:graphicData>
            </a:graphic>
          </wp:inline>
        </w:drawing>
      </w:r>
    </w:p>
    <w:p w14:paraId="0D6B0119">
      <w:pPr>
        <w:pStyle w:val="7"/>
        <w:widowControl/>
        <w:spacing w:before="76" w:beforeAutospacing="0" w:after="76" w:afterAutospacing="0" w:line="450" w:lineRule="atLeast"/>
      </w:pPr>
      <w:r>
        <w:drawing>
          <wp:inline distT="0" distB="0" distL="114300" distR="114300">
            <wp:extent cx="7543800" cy="5162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7543800" cy="5162550"/>
                    </a:xfrm>
                    <a:prstGeom prst="rect">
                      <a:avLst/>
                    </a:prstGeom>
                    <a:noFill/>
                    <a:ln>
                      <a:noFill/>
                    </a:ln>
                  </pic:spPr>
                </pic:pic>
              </a:graphicData>
            </a:graphic>
          </wp:inline>
        </w:drawing>
      </w:r>
    </w:p>
    <w:p w14:paraId="79AF227B">
      <w:pPr>
        <w:pStyle w:val="7"/>
        <w:widowControl/>
        <w:spacing w:before="76" w:beforeAutospacing="0" w:after="76" w:afterAutospacing="0" w:line="450" w:lineRule="atLeast"/>
      </w:pPr>
    </w:p>
    <w:p w14:paraId="5E04CDF1">
      <w:pPr>
        <w:pStyle w:val="7"/>
        <w:widowControl/>
        <w:spacing w:before="76" w:beforeAutospacing="0" w:after="76" w:afterAutospacing="0" w:line="450" w:lineRule="atLeast"/>
      </w:pPr>
      <w:r>
        <w:drawing>
          <wp:inline distT="0" distB="0" distL="114300" distR="114300">
            <wp:extent cx="8829675" cy="23907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8829675" cy="2390775"/>
                    </a:xfrm>
                    <a:prstGeom prst="rect">
                      <a:avLst/>
                    </a:prstGeom>
                    <a:noFill/>
                    <a:ln>
                      <a:noFill/>
                    </a:ln>
                  </pic:spPr>
                </pic:pic>
              </a:graphicData>
            </a:graphic>
          </wp:inline>
        </w:drawing>
      </w:r>
    </w:p>
    <w:p w14:paraId="786F1F04">
      <w:pPr>
        <w:pStyle w:val="7"/>
        <w:widowControl/>
        <w:spacing w:before="76" w:beforeAutospacing="0" w:after="76" w:afterAutospacing="0" w:line="450" w:lineRule="atLeast"/>
      </w:pPr>
    </w:p>
    <w:p w14:paraId="5FC34ECC">
      <w:pPr>
        <w:pStyle w:val="7"/>
        <w:widowControl/>
        <w:spacing w:before="76" w:beforeAutospacing="0" w:after="76" w:afterAutospacing="0" w:line="450" w:lineRule="atLeast"/>
      </w:pPr>
    </w:p>
    <w:p w14:paraId="14F4D987">
      <w:pPr>
        <w:pStyle w:val="7"/>
        <w:widowControl/>
        <w:spacing w:before="76" w:beforeAutospacing="0" w:after="76" w:afterAutospacing="0" w:line="450" w:lineRule="atLeast"/>
      </w:pPr>
    </w:p>
    <w:p w14:paraId="5AA03A9D">
      <w:pPr>
        <w:pStyle w:val="7"/>
        <w:widowControl/>
        <w:spacing w:before="76" w:beforeAutospacing="0" w:after="76" w:afterAutospacing="0" w:line="450" w:lineRule="atLeast"/>
      </w:pPr>
    </w:p>
    <w:p w14:paraId="139614CC">
      <w:pPr>
        <w:pStyle w:val="7"/>
        <w:widowControl/>
        <w:spacing w:before="76" w:beforeAutospacing="0" w:after="76" w:afterAutospacing="0" w:line="450" w:lineRule="atLeast"/>
      </w:pPr>
    </w:p>
    <w:p w14:paraId="05E09CA2">
      <w:pPr>
        <w:pStyle w:val="7"/>
        <w:widowControl/>
        <w:spacing w:before="76" w:beforeAutospacing="0" w:after="76" w:afterAutospacing="0" w:line="450" w:lineRule="atLeast"/>
      </w:pPr>
    </w:p>
    <w:p w14:paraId="1CE4D15A">
      <w:pPr>
        <w:pStyle w:val="7"/>
        <w:widowControl/>
        <w:spacing w:before="76" w:beforeAutospacing="0" w:after="76" w:afterAutospacing="0" w:line="450" w:lineRule="atLeast"/>
      </w:pPr>
    </w:p>
    <w:p w14:paraId="69A6D028">
      <w:pPr>
        <w:pStyle w:val="7"/>
        <w:widowControl/>
        <w:spacing w:before="76" w:beforeAutospacing="0" w:after="76" w:afterAutospacing="0" w:line="450" w:lineRule="atLeast"/>
      </w:pPr>
      <w:r>
        <w:drawing>
          <wp:inline distT="0" distB="0" distL="114300" distR="114300">
            <wp:extent cx="8858250" cy="5162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8858250" cy="5162550"/>
                    </a:xfrm>
                    <a:prstGeom prst="rect">
                      <a:avLst/>
                    </a:prstGeom>
                    <a:noFill/>
                    <a:ln>
                      <a:noFill/>
                    </a:ln>
                  </pic:spPr>
                </pic:pic>
              </a:graphicData>
            </a:graphic>
          </wp:inline>
        </w:drawing>
      </w:r>
    </w:p>
    <w:p w14:paraId="416DD129">
      <w:pPr>
        <w:pStyle w:val="7"/>
        <w:widowControl/>
        <w:spacing w:before="76" w:beforeAutospacing="0" w:after="76" w:afterAutospacing="0" w:line="450" w:lineRule="atLeast"/>
      </w:pPr>
    </w:p>
    <w:p w14:paraId="1502A0B5">
      <w:pPr>
        <w:pStyle w:val="7"/>
        <w:widowControl/>
        <w:spacing w:before="76" w:beforeAutospacing="0" w:after="76" w:afterAutospacing="0" w:line="450" w:lineRule="atLeast"/>
      </w:pPr>
      <w:r>
        <w:drawing>
          <wp:inline distT="0" distB="0" distL="114300" distR="114300">
            <wp:extent cx="8829675" cy="16954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8829675" cy="1695450"/>
                    </a:xfrm>
                    <a:prstGeom prst="rect">
                      <a:avLst/>
                    </a:prstGeom>
                    <a:noFill/>
                    <a:ln>
                      <a:noFill/>
                    </a:ln>
                  </pic:spPr>
                </pic:pic>
              </a:graphicData>
            </a:graphic>
          </wp:inline>
        </w:drawing>
      </w:r>
    </w:p>
    <w:p w14:paraId="3BDEBF6F"/>
    <w:p w14:paraId="6B18BBEA"/>
    <w:p w14:paraId="385CC9EE"/>
    <w:p w14:paraId="72D2EB2D"/>
    <w:tbl>
      <w:tblPr>
        <w:tblStyle w:val="8"/>
        <w:tblW w:w="0" w:type="auto"/>
        <w:jc w:val="center"/>
        <w:tblLayout w:type="autofit"/>
        <w:tblCellMar>
          <w:top w:w="0" w:type="dxa"/>
          <w:left w:w="108" w:type="dxa"/>
          <w:bottom w:w="0" w:type="dxa"/>
          <w:right w:w="108" w:type="dxa"/>
        </w:tblCellMar>
      </w:tblPr>
      <w:tblGrid>
        <w:gridCol w:w="3516"/>
        <w:gridCol w:w="222"/>
        <w:gridCol w:w="222"/>
        <w:gridCol w:w="1016"/>
        <w:gridCol w:w="1616"/>
        <w:gridCol w:w="1016"/>
        <w:gridCol w:w="616"/>
        <w:gridCol w:w="1016"/>
        <w:gridCol w:w="1016"/>
        <w:gridCol w:w="1756"/>
      </w:tblGrid>
      <w:tr w14:paraId="0D12C6C5">
        <w:tblPrEx>
          <w:tblCellMar>
            <w:top w:w="0" w:type="dxa"/>
            <w:left w:w="108" w:type="dxa"/>
            <w:bottom w:w="0" w:type="dxa"/>
            <w:right w:w="108" w:type="dxa"/>
          </w:tblCellMar>
        </w:tblPrEx>
        <w:trPr>
          <w:trHeight w:val="375" w:hRule="atLeast"/>
          <w:jc w:val="center"/>
        </w:trPr>
        <w:tc>
          <w:tcPr>
            <w:tcW w:w="0" w:type="auto"/>
            <w:gridSpan w:val="10"/>
            <w:tcBorders>
              <w:top w:val="nil"/>
              <w:left w:val="nil"/>
              <w:bottom w:val="nil"/>
              <w:right w:val="nil"/>
            </w:tcBorders>
            <w:shd w:val="clear" w:color="auto" w:fill="FFFFFF"/>
            <w:noWrap/>
            <w:vAlign w:val="center"/>
          </w:tcPr>
          <w:p w14:paraId="755491DE">
            <w:pPr>
              <w:jc w:val="center"/>
              <w:rPr>
                <w:rFonts w:ascii="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14:paraId="14942412">
        <w:tblPrEx>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011C7F7C">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63A7DD4E">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6A59886">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3132CBC8">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07C04B77">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5E85797B">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2CB331EA">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5F654AF8">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165FEB6A">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0FBDFA6C">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14:paraId="3DEA439E">
        <w:tblPrEx>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3457D072">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部门：黄石市黄石港区妇女联合会</w:t>
            </w:r>
          </w:p>
        </w:tc>
        <w:tc>
          <w:tcPr>
            <w:tcW w:w="0" w:type="auto"/>
            <w:tcBorders>
              <w:top w:val="nil"/>
              <w:left w:val="nil"/>
              <w:bottom w:val="single" w:color="000000" w:sz="4" w:space="0"/>
              <w:right w:val="nil"/>
            </w:tcBorders>
            <w:shd w:val="clear" w:color="auto" w:fill="FFFFFF"/>
            <w:noWrap/>
            <w:vAlign w:val="center"/>
          </w:tcPr>
          <w:p w14:paraId="1A1994AE">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68E2A4FA">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0F8103F0">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024DECBB">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14:paraId="68257E84">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6F1D98FF">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8C55EED">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07B38027">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556EE58C">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0EC7055D">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6A3F766">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14:paraId="4E2EF424">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14:paraId="70704849">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14:paraId="1CB7C195">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7BB8B703">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14:paraId="370A382A">
        <w:tblPrEx>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091B42D">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1B8BAFAD">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14:paraId="601AB229">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1EFBDCAA">
            <w:pPr>
              <w:jc w:val="center"/>
              <w:rPr>
                <w:rFonts w:ascii="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14:paraId="68202FC8">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14:paraId="70391691">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79C14AEA">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14:paraId="528C5578">
            <w:pPr>
              <w:jc w:val="center"/>
              <w:rPr>
                <w:rFonts w:ascii="宋体" w:cs="宋体"/>
                <w:color w:val="000000"/>
                <w:sz w:val="20"/>
                <w:szCs w:val="20"/>
              </w:rPr>
            </w:pPr>
          </w:p>
        </w:tc>
      </w:tr>
      <w:tr w14:paraId="54F1F09E">
        <w:tblPrEx>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3633FD1">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00B03B5">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B420D07">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18E201F1">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20C1A0C">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2A2E3E9">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74C0F87">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E3A1D2D">
            <w:pPr>
              <w:jc w:val="center"/>
              <w:rPr>
                <w:rFonts w:ascii="宋体" w:cs="宋体"/>
                <w:color w:val="000000"/>
                <w:sz w:val="20"/>
                <w:szCs w:val="20"/>
              </w:rPr>
            </w:pPr>
          </w:p>
        </w:tc>
      </w:tr>
      <w:tr w14:paraId="2AE0D159">
        <w:tblPrEx>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37072E1">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20CBB7F">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4DF25642">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1DDBE202">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917C70C">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14A3295A">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58B0958">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2069C5A">
            <w:pPr>
              <w:jc w:val="center"/>
              <w:rPr>
                <w:rFonts w:ascii="宋体" w:cs="宋体"/>
                <w:color w:val="000000"/>
                <w:sz w:val="20"/>
                <w:szCs w:val="20"/>
              </w:rPr>
            </w:pPr>
          </w:p>
        </w:tc>
      </w:tr>
      <w:tr w14:paraId="302FE9B6">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55E6F6A">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14:paraId="414CE439">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14:paraId="42B30457">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14:paraId="7CDBBABF">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14:paraId="288CE8FD">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14:paraId="0C7EFD7D">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14:paraId="69213CD0">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14:paraId="2683C9CB">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BEE392F">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14:paraId="0D543CE3">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D3F6A24">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26F0B068">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2B8648DC">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319AA8A">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C0BD030">
            <w:pPr>
              <w:jc w:val="right"/>
              <w:rPr>
                <w:rFonts w:ascii="宋体" w:cs="宋体"/>
                <w:b/>
                <w:bCs/>
                <w:color w:val="000000"/>
                <w:sz w:val="20"/>
                <w:szCs w:val="20"/>
              </w:rPr>
            </w:pPr>
          </w:p>
        </w:tc>
      </w:tr>
      <w:tr w14:paraId="37EB743A">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2B3E4B1">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439BF3F2">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F3A7C7C">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3EA30DC">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A5CB0E5">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BC3CD33">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3632AAFE">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52AA786">
            <w:pPr>
              <w:jc w:val="right"/>
              <w:rPr>
                <w:rFonts w:ascii="宋体" w:cs="宋体"/>
                <w:color w:val="000000"/>
                <w:sz w:val="20"/>
                <w:szCs w:val="20"/>
              </w:rPr>
            </w:pPr>
          </w:p>
        </w:tc>
      </w:tr>
      <w:tr w14:paraId="01A87F3C">
        <w:tblPrEx>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14:paraId="4CE440AD">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14:paraId="3A89BABA">
      <w:pPr>
        <w:pStyle w:val="22"/>
        <w:spacing w:before="76" w:beforeAutospacing="0" w:after="76" w:afterAutospacing="0" w:line="450" w:lineRule="atLeast"/>
        <w:jc w:val="both"/>
      </w:pPr>
    </w:p>
    <w:tbl>
      <w:tblPr>
        <w:tblStyle w:val="8"/>
        <w:tblW w:w="12200" w:type="dxa"/>
        <w:jc w:val="center"/>
        <w:tblLayout w:type="autofit"/>
        <w:tblCellMar>
          <w:top w:w="0" w:type="dxa"/>
          <w:left w:w="108" w:type="dxa"/>
          <w:bottom w:w="0" w:type="dxa"/>
          <w:right w:w="108" w:type="dxa"/>
        </w:tblCellMar>
      </w:tblPr>
      <w:tblGrid>
        <w:gridCol w:w="3884"/>
        <w:gridCol w:w="245"/>
        <w:gridCol w:w="245"/>
        <w:gridCol w:w="1271"/>
        <w:gridCol w:w="2079"/>
        <w:gridCol w:w="1318"/>
        <w:gridCol w:w="3158"/>
      </w:tblGrid>
      <w:tr w14:paraId="78DD5658">
        <w:tblPrEx>
          <w:tblCellMar>
            <w:top w:w="0" w:type="dxa"/>
            <w:left w:w="108" w:type="dxa"/>
            <w:bottom w:w="0" w:type="dxa"/>
            <w:right w:w="108" w:type="dxa"/>
          </w:tblCellMar>
        </w:tblPrEx>
        <w:trPr>
          <w:trHeight w:val="404" w:hRule="atLeast"/>
          <w:jc w:val="center"/>
        </w:trPr>
        <w:tc>
          <w:tcPr>
            <w:tcW w:w="12200" w:type="dxa"/>
            <w:gridSpan w:val="7"/>
            <w:tcBorders>
              <w:top w:val="nil"/>
              <w:left w:val="nil"/>
              <w:bottom w:val="nil"/>
              <w:right w:val="nil"/>
            </w:tcBorders>
            <w:shd w:val="clear" w:color="auto" w:fill="FFFFFF"/>
            <w:noWrap/>
            <w:vAlign w:val="center"/>
          </w:tcPr>
          <w:p w14:paraId="4303A408">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14:paraId="07CB1411">
        <w:tblPrEx>
          <w:tblCellMar>
            <w:top w:w="0" w:type="dxa"/>
            <w:left w:w="108" w:type="dxa"/>
            <w:bottom w:w="0" w:type="dxa"/>
            <w:right w:w="108" w:type="dxa"/>
          </w:tblCellMar>
        </w:tblPrEx>
        <w:trPr>
          <w:trHeight w:val="312" w:hRule="atLeast"/>
          <w:jc w:val="center"/>
        </w:trPr>
        <w:tc>
          <w:tcPr>
            <w:tcW w:w="0" w:type="auto"/>
            <w:tcBorders>
              <w:top w:val="nil"/>
              <w:left w:val="nil"/>
              <w:bottom w:val="nil"/>
              <w:right w:val="nil"/>
            </w:tcBorders>
            <w:shd w:val="clear" w:color="auto" w:fill="FFFFFF"/>
            <w:noWrap/>
            <w:vAlign w:val="center"/>
          </w:tcPr>
          <w:p w14:paraId="307CEF18">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3BAF19BD">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63FA3D8E">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14:paraId="7B0FD8A1">
            <w:pPr>
              <w:jc w:val="left"/>
              <w:rPr>
                <w:rFonts w:ascii="宋体" w:cs="宋体"/>
                <w:color w:val="000000"/>
                <w:sz w:val="18"/>
                <w:szCs w:val="18"/>
              </w:rPr>
            </w:pPr>
          </w:p>
        </w:tc>
        <w:tc>
          <w:tcPr>
            <w:tcW w:w="1882" w:type="dxa"/>
            <w:tcBorders>
              <w:top w:val="nil"/>
              <w:left w:val="nil"/>
              <w:bottom w:val="nil"/>
              <w:right w:val="nil"/>
            </w:tcBorders>
            <w:shd w:val="clear" w:color="auto" w:fill="FFFFFF"/>
            <w:noWrap/>
            <w:vAlign w:val="center"/>
          </w:tcPr>
          <w:p w14:paraId="3D57138A">
            <w:pPr>
              <w:jc w:val="left"/>
              <w:rPr>
                <w:rFonts w:ascii="宋体" w:cs="宋体"/>
                <w:color w:val="000000"/>
                <w:sz w:val="18"/>
                <w:szCs w:val="18"/>
              </w:rPr>
            </w:pPr>
          </w:p>
        </w:tc>
        <w:tc>
          <w:tcPr>
            <w:tcW w:w="1193" w:type="dxa"/>
            <w:tcBorders>
              <w:top w:val="nil"/>
              <w:left w:val="nil"/>
              <w:bottom w:val="nil"/>
              <w:right w:val="nil"/>
            </w:tcBorders>
            <w:shd w:val="clear" w:color="auto" w:fill="FFFFFF"/>
            <w:noWrap/>
            <w:vAlign w:val="center"/>
          </w:tcPr>
          <w:p w14:paraId="21D2FDD4">
            <w:pPr>
              <w:jc w:val="left"/>
              <w:rPr>
                <w:rFonts w:ascii="宋体" w:cs="宋体"/>
                <w:color w:val="000000"/>
                <w:sz w:val="18"/>
                <w:szCs w:val="18"/>
              </w:rPr>
            </w:pPr>
          </w:p>
        </w:tc>
        <w:tc>
          <w:tcPr>
            <w:tcW w:w="2859" w:type="dxa"/>
            <w:tcBorders>
              <w:top w:val="nil"/>
              <w:left w:val="nil"/>
              <w:bottom w:val="nil"/>
              <w:right w:val="nil"/>
            </w:tcBorders>
            <w:shd w:val="clear" w:color="auto" w:fill="FFFFFF"/>
            <w:noWrap/>
            <w:vAlign w:val="center"/>
          </w:tcPr>
          <w:p w14:paraId="34F0DCB0">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14:paraId="784D221E">
        <w:tblPrEx>
          <w:tblCellMar>
            <w:top w:w="0" w:type="dxa"/>
            <w:left w:w="108" w:type="dxa"/>
            <w:bottom w:w="0" w:type="dxa"/>
            <w:right w:w="108" w:type="dxa"/>
          </w:tblCellMar>
        </w:tblPrEx>
        <w:trPr>
          <w:trHeight w:val="312" w:hRule="atLeast"/>
          <w:jc w:val="center"/>
        </w:trPr>
        <w:tc>
          <w:tcPr>
            <w:tcW w:w="0" w:type="auto"/>
            <w:tcBorders>
              <w:top w:val="nil"/>
              <w:left w:val="nil"/>
              <w:bottom w:val="single" w:color="000000" w:sz="4" w:space="0"/>
              <w:right w:val="nil"/>
            </w:tcBorders>
            <w:shd w:val="clear" w:color="auto" w:fill="FFFFFF"/>
            <w:noWrap/>
            <w:vAlign w:val="center"/>
          </w:tcPr>
          <w:p w14:paraId="6FF235A9">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部门：黄石市黄石港区妇女联合会</w:t>
            </w:r>
          </w:p>
        </w:tc>
        <w:tc>
          <w:tcPr>
            <w:tcW w:w="0" w:type="auto"/>
            <w:tcBorders>
              <w:top w:val="nil"/>
              <w:left w:val="nil"/>
              <w:bottom w:val="single" w:color="000000" w:sz="4" w:space="0"/>
              <w:right w:val="nil"/>
            </w:tcBorders>
            <w:shd w:val="clear" w:color="auto" w:fill="FFFFFF"/>
            <w:noWrap/>
            <w:vAlign w:val="center"/>
          </w:tcPr>
          <w:p w14:paraId="2896203E">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32F92AF8">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22E2CFEB">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1882" w:type="dxa"/>
            <w:tcBorders>
              <w:top w:val="nil"/>
              <w:left w:val="nil"/>
              <w:bottom w:val="single" w:color="000000" w:sz="4" w:space="0"/>
              <w:right w:val="nil"/>
            </w:tcBorders>
            <w:shd w:val="clear" w:color="auto" w:fill="FFFFFF"/>
            <w:noWrap/>
            <w:vAlign w:val="center"/>
          </w:tcPr>
          <w:p w14:paraId="5D070CB7">
            <w:pPr>
              <w:jc w:val="center"/>
              <w:rPr>
                <w:rFonts w:ascii="宋体" w:cs="宋体"/>
                <w:color w:val="000000"/>
                <w:sz w:val="18"/>
                <w:szCs w:val="18"/>
              </w:rPr>
            </w:pPr>
          </w:p>
        </w:tc>
        <w:tc>
          <w:tcPr>
            <w:tcW w:w="1193" w:type="dxa"/>
            <w:tcBorders>
              <w:top w:val="nil"/>
              <w:left w:val="nil"/>
              <w:bottom w:val="single" w:color="000000" w:sz="4" w:space="0"/>
              <w:right w:val="nil"/>
            </w:tcBorders>
            <w:shd w:val="clear" w:color="auto" w:fill="FFFFFF"/>
            <w:noWrap/>
            <w:vAlign w:val="center"/>
          </w:tcPr>
          <w:p w14:paraId="7B8949D6">
            <w:pPr>
              <w:jc w:val="center"/>
              <w:rPr>
                <w:rFonts w:ascii="宋体" w:cs="宋体"/>
                <w:color w:val="000000"/>
                <w:sz w:val="18"/>
                <w:szCs w:val="18"/>
              </w:rPr>
            </w:pPr>
          </w:p>
        </w:tc>
        <w:tc>
          <w:tcPr>
            <w:tcW w:w="2859" w:type="dxa"/>
            <w:tcBorders>
              <w:top w:val="nil"/>
              <w:left w:val="nil"/>
              <w:bottom w:val="single" w:color="000000" w:sz="4" w:space="0"/>
              <w:right w:val="nil"/>
            </w:tcBorders>
            <w:shd w:val="clear" w:color="auto" w:fill="FFFFFF"/>
            <w:noWrap/>
            <w:vAlign w:val="center"/>
          </w:tcPr>
          <w:p w14:paraId="7A148C16">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14:paraId="3B739474">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1FC8D19">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5934" w:type="dxa"/>
            <w:gridSpan w:val="3"/>
            <w:tcBorders>
              <w:top w:val="nil"/>
              <w:left w:val="nil"/>
              <w:bottom w:val="single" w:color="000000" w:sz="4" w:space="0"/>
              <w:right w:val="single" w:color="000000" w:sz="4" w:space="0"/>
            </w:tcBorders>
            <w:shd w:val="clear" w:color="auto" w:fill="C0C0C0"/>
            <w:vAlign w:val="center"/>
          </w:tcPr>
          <w:p w14:paraId="4A8A0A70">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14:paraId="16F7236C">
        <w:tblPrEx>
          <w:tblCellMar>
            <w:top w:w="0" w:type="dxa"/>
            <w:left w:w="108" w:type="dxa"/>
            <w:bottom w:w="0" w:type="dxa"/>
            <w:right w:w="108" w:type="dxa"/>
          </w:tblCellMar>
        </w:tblPrEx>
        <w:trPr>
          <w:trHeight w:val="333" w:hRule="atLeast"/>
          <w:jc w:val="center"/>
        </w:trPr>
        <w:tc>
          <w:tcPr>
            <w:tcW w:w="485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CC59DDF">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FCAFD43">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82" w:type="dxa"/>
            <w:vMerge w:val="restart"/>
            <w:tcBorders>
              <w:top w:val="nil"/>
              <w:left w:val="nil"/>
              <w:bottom w:val="single" w:color="000000" w:sz="4" w:space="0"/>
              <w:right w:val="single" w:color="000000" w:sz="4" w:space="0"/>
            </w:tcBorders>
            <w:shd w:val="clear" w:color="auto" w:fill="C0C0C0"/>
            <w:vAlign w:val="center"/>
          </w:tcPr>
          <w:p w14:paraId="07A89B37">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193" w:type="dxa"/>
            <w:vMerge w:val="restart"/>
            <w:tcBorders>
              <w:top w:val="nil"/>
              <w:left w:val="nil"/>
              <w:bottom w:val="single" w:color="000000" w:sz="4" w:space="0"/>
              <w:right w:val="single" w:color="000000" w:sz="4" w:space="0"/>
            </w:tcBorders>
            <w:shd w:val="clear" w:color="auto" w:fill="C0C0C0"/>
            <w:vAlign w:val="center"/>
          </w:tcPr>
          <w:p w14:paraId="1AF4DC97">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2859" w:type="dxa"/>
            <w:vMerge w:val="restart"/>
            <w:tcBorders>
              <w:top w:val="nil"/>
              <w:left w:val="nil"/>
              <w:bottom w:val="single" w:color="000000" w:sz="4" w:space="0"/>
              <w:right w:val="single" w:color="000000" w:sz="4" w:space="0"/>
            </w:tcBorders>
            <w:shd w:val="clear" w:color="auto" w:fill="C0C0C0"/>
            <w:vAlign w:val="center"/>
          </w:tcPr>
          <w:p w14:paraId="547AB3AF">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14:paraId="167BFBCE">
        <w:tblPrEx>
          <w:tblCellMar>
            <w:top w:w="0" w:type="dxa"/>
            <w:left w:w="108" w:type="dxa"/>
            <w:bottom w:w="0" w:type="dxa"/>
            <w:right w:w="108" w:type="dxa"/>
          </w:tblCellMar>
        </w:tblPrEx>
        <w:trPr>
          <w:trHeight w:val="333" w:hRule="atLeast"/>
          <w:jc w:val="center"/>
        </w:trPr>
        <w:tc>
          <w:tcPr>
            <w:tcW w:w="485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6F082D3">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B27833F">
            <w:pPr>
              <w:jc w:val="center"/>
              <w:rPr>
                <w:rFonts w:ascii="宋体" w:cs="宋体"/>
                <w:color w:val="000000"/>
                <w:sz w:val="20"/>
                <w:szCs w:val="20"/>
              </w:rPr>
            </w:pPr>
          </w:p>
        </w:tc>
        <w:tc>
          <w:tcPr>
            <w:tcW w:w="1882" w:type="dxa"/>
            <w:vMerge w:val="continue"/>
            <w:tcBorders>
              <w:top w:val="nil"/>
              <w:left w:val="nil"/>
              <w:bottom w:val="single" w:color="000000" w:sz="4" w:space="0"/>
              <w:right w:val="single" w:color="000000" w:sz="4" w:space="0"/>
            </w:tcBorders>
            <w:shd w:val="clear" w:color="auto" w:fill="C0C0C0"/>
            <w:vAlign w:val="center"/>
          </w:tcPr>
          <w:p w14:paraId="42989FDF">
            <w:pPr>
              <w:jc w:val="center"/>
              <w:rPr>
                <w:rFonts w:ascii="宋体" w:cs="宋体"/>
                <w:color w:val="000000"/>
                <w:sz w:val="20"/>
                <w:szCs w:val="20"/>
              </w:rPr>
            </w:pPr>
          </w:p>
        </w:tc>
        <w:tc>
          <w:tcPr>
            <w:tcW w:w="1193" w:type="dxa"/>
            <w:vMerge w:val="continue"/>
            <w:tcBorders>
              <w:top w:val="nil"/>
              <w:left w:val="nil"/>
              <w:bottom w:val="single" w:color="000000" w:sz="4" w:space="0"/>
              <w:right w:val="single" w:color="000000" w:sz="4" w:space="0"/>
            </w:tcBorders>
            <w:shd w:val="clear" w:color="auto" w:fill="C0C0C0"/>
            <w:vAlign w:val="center"/>
          </w:tcPr>
          <w:p w14:paraId="36B42539">
            <w:pPr>
              <w:jc w:val="center"/>
              <w:rPr>
                <w:rFonts w:ascii="宋体" w:cs="宋体"/>
                <w:color w:val="000000"/>
                <w:sz w:val="20"/>
                <w:szCs w:val="20"/>
              </w:rPr>
            </w:pPr>
          </w:p>
        </w:tc>
        <w:tc>
          <w:tcPr>
            <w:tcW w:w="2859" w:type="dxa"/>
            <w:vMerge w:val="continue"/>
            <w:tcBorders>
              <w:top w:val="nil"/>
              <w:left w:val="nil"/>
              <w:bottom w:val="single" w:color="000000" w:sz="4" w:space="0"/>
              <w:right w:val="single" w:color="000000" w:sz="4" w:space="0"/>
            </w:tcBorders>
            <w:shd w:val="clear" w:color="auto" w:fill="C0C0C0"/>
            <w:vAlign w:val="center"/>
          </w:tcPr>
          <w:p w14:paraId="3E88F8E5">
            <w:pPr>
              <w:jc w:val="center"/>
              <w:rPr>
                <w:rFonts w:ascii="宋体" w:cs="宋体"/>
                <w:color w:val="000000"/>
                <w:sz w:val="20"/>
                <w:szCs w:val="20"/>
              </w:rPr>
            </w:pPr>
          </w:p>
        </w:tc>
      </w:tr>
      <w:tr w14:paraId="6204BC7A">
        <w:tblPrEx>
          <w:tblCellMar>
            <w:top w:w="0" w:type="dxa"/>
            <w:left w:w="108" w:type="dxa"/>
            <w:bottom w:w="0" w:type="dxa"/>
            <w:right w:w="108" w:type="dxa"/>
          </w:tblCellMar>
        </w:tblPrEx>
        <w:trPr>
          <w:trHeight w:val="333" w:hRule="atLeast"/>
          <w:jc w:val="center"/>
        </w:trPr>
        <w:tc>
          <w:tcPr>
            <w:tcW w:w="485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60E8970">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6008229">
            <w:pPr>
              <w:jc w:val="center"/>
              <w:rPr>
                <w:rFonts w:ascii="宋体" w:cs="宋体"/>
                <w:color w:val="000000"/>
                <w:sz w:val="20"/>
                <w:szCs w:val="20"/>
              </w:rPr>
            </w:pPr>
          </w:p>
        </w:tc>
        <w:tc>
          <w:tcPr>
            <w:tcW w:w="1882" w:type="dxa"/>
            <w:vMerge w:val="continue"/>
            <w:tcBorders>
              <w:top w:val="nil"/>
              <w:left w:val="nil"/>
              <w:bottom w:val="single" w:color="000000" w:sz="4" w:space="0"/>
              <w:right w:val="single" w:color="000000" w:sz="4" w:space="0"/>
            </w:tcBorders>
            <w:shd w:val="clear" w:color="auto" w:fill="C0C0C0"/>
            <w:vAlign w:val="center"/>
          </w:tcPr>
          <w:p w14:paraId="4E6D6936">
            <w:pPr>
              <w:jc w:val="center"/>
              <w:rPr>
                <w:rFonts w:ascii="宋体" w:cs="宋体"/>
                <w:color w:val="000000"/>
                <w:sz w:val="20"/>
                <w:szCs w:val="20"/>
              </w:rPr>
            </w:pPr>
          </w:p>
        </w:tc>
        <w:tc>
          <w:tcPr>
            <w:tcW w:w="1193" w:type="dxa"/>
            <w:vMerge w:val="continue"/>
            <w:tcBorders>
              <w:top w:val="nil"/>
              <w:left w:val="nil"/>
              <w:bottom w:val="single" w:color="000000" w:sz="4" w:space="0"/>
              <w:right w:val="single" w:color="000000" w:sz="4" w:space="0"/>
            </w:tcBorders>
            <w:shd w:val="clear" w:color="auto" w:fill="C0C0C0"/>
            <w:vAlign w:val="center"/>
          </w:tcPr>
          <w:p w14:paraId="344035F6">
            <w:pPr>
              <w:jc w:val="center"/>
              <w:rPr>
                <w:rFonts w:ascii="宋体" w:cs="宋体"/>
                <w:color w:val="000000"/>
                <w:sz w:val="20"/>
                <w:szCs w:val="20"/>
              </w:rPr>
            </w:pPr>
          </w:p>
        </w:tc>
        <w:tc>
          <w:tcPr>
            <w:tcW w:w="2859" w:type="dxa"/>
            <w:vMerge w:val="continue"/>
            <w:tcBorders>
              <w:top w:val="nil"/>
              <w:left w:val="nil"/>
              <w:bottom w:val="single" w:color="000000" w:sz="4" w:space="0"/>
              <w:right w:val="single" w:color="000000" w:sz="4" w:space="0"/>
            </w:tcBorders>
            <w:shd w:val="clear" w:color="auto" w:fill="C0C0C0"/>
            <w:vAlign w:val="center"/>
          </w:tcPr>
          <w:p w14:paraId="5E992B36">
            <w:pPr>
              <w:jc w:val="center"/>
              <w:rPr>
                <w:rFonts w:ascii="宋体" w:cs="宋体"/>
                <w:color w:val="000000"/>
                <w:sz w:val="20"/>
                <w:szCs w:val="20"/>
              </w:rPr>
            </w:pPr>
          </w:p>
        </w:tc>
      </w:tr>
      <w:tr w14:paraId="2FB0568E">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E77B586">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1882" w:type="dxa"/>
            <w:tcBorders>
              <w:top w:val="nil"/>
              <w:left w:val="nil"/>
              <w:bottom w:val="single" w:color="000000" w:sz="4" w:space="0"/>
              <w:right w:val="single" w:color="000000" w:sz="4" w:space="0"/>
            </w:tcBorders>
            <w:shd w:val="clear" w:color="auto" w:fill="C0C0C0"/>
            <w:noWrap/>
            <w:vAlign w:val="center"/>
          </w:tcPr>
          <w:p w14:paraId="66643820">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1193" w:type="dxa"/>
            <w:tcBorders>
              <w:top w:val="nil"/>
              <w:left w:val="nil"/>
              <w:bottom w:val="single" w:color="000000" w:sz="4" w:space="0"/>
              <w:right w:val="single" w:color="000000" w:sz="4" w:space="0"/>
            </w:tcBorders>
            <w:shd w:val="clear" w:color="auto" w:fill="C0C0C0"/>
            <w:noWrap/>
            <w:vAlign w:val="center"/>
          </w:tcPr>
          <w:p w14:paraId="35979368">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2859" w:type="dxa"/>
            <w:tcBorders>
              <w:top w:val="nil"/>
              <w:left w:val="nil"/>
              <w:bottom w:val="single" w:color="000000" w:sz="4" w:space="0"/>
              <w:right w:val="single" w:color="000000" w:sz="4" w:space="0"/>
            </w:tcBorders>
            <w:shd w:val="clear" w:color="auto" w:fill="C0C0C0"/>
            <w:noWrap/>
            <w:vAlign w:val="center"/>
          </w:tcPr>
          <w:p w14:paraId="6D9544A9">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14:paraId="7851D626">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01C3CBC">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1882" w:type="dxa"/>
            <w:tcBorders>
              <w:top w:val="nil"/>
              <w:left w:val="nil"/>
              <w:bottom w:val="single" w:color="000000" w:sz="4" w:space="0"/>
              <w:right w:val="single" w:color="000000" w:sz="4" w:space="0"/>
            </w:tcBorders>
            <w:shd w:val="clear" w:color="auto" w:fill="FFFFFF"/>
            <w:noWrap/>
            <w:vAlign w:val="center"/>
          </w:tcPr>
          <w:p w14:paraId="15AE5FFB">
            <w:pPr>
              <w:jc w:val="right"/>
              <w:rPr>
                <w:rFonts w:ascii="宋体" w:cs="宋体"/>
                <w:b/>
                <w:bCs/>
                <w:color w:val="000000"/>
                <w:sz w:val="20"/>
                <w:szCs w:val="20"/>
              </w:rPr>
            </w:pPr>
          </w:p>
        </w:tc>
        <w:tc>
          <w:tcPr>
            <w:tcW w:w="1193" w:type="dxa"/>
            <w:tcBorders>
              <w:top w:val="nil"/>
              <w:left w:val="nil"/>
              <w:bottom w:val="single" w:color="000000" w:sz="4" w:space="0"/>
              <w:right w:val="single" w:color="000000" w:sz="4" w:space="0"/>
            </w:tcBorders>
            <w:shd w:val="clear" w:color="auto" w:fill="FFFFFF"/>
            <w:noWrap/>
            <w:vAlign w:val="center"/>
          </w:tcPr>
          <w:p w14:paraId="7A94D66E">
            <w:pPr>
              <w:jc w:val="right"/>
              <w:rPr>
                <w:rFonts w:ascii="宋体" w:cs="宋体"/>
                <w:b/>
                <w:bCs/>
                <w:color w:val="000000"/>
                <w:sz w:val="20"/>
                <w:szCs w:val="20"/>
              </w:rPr>
            </w:pPr>
          </w:p>
        </w:tc>
        <w:tc>
          <w:tcPr>
            <w:tcW w:w="2859" w:type="dxa"/>
            <w:tcBorders>
              <w:top w:val="nil"/>
              <w:left w:val="nil"/>
              <w:bottom w:val="single" w:color="000000" w:sz="4" w:space="0"/>
              <w:right w:val="single" w:color="000000" w:sz="4" w:space="0"/>
            </w:tcBorders>
            <w:shd w:val="clear" w:color="auto" w:fill="FFFFFF"/>
            <w:noWrap/>
            <w:vAlign w:val="center"/>
          </w:tcPr>
          <w:p w14:paraId="4BA0FE32">
            <w:pPr>
              <w:jc w:val="right"/>
              <w:rPr>
                <w:rFonts w:ascii="宋体" w:cs="宋体"/>
                <w:b/>
                <w:bCs/>
                <w:color w:val="000000"/>
                <w:sz w:val="20"/>
                <w:szCs w:val="20"/>
              </w:rPr>
            </w:pPr>
          </w:p>
        </w:tc>
      </w:tr>
      <w:tr w14:paraId="13630B26">
        <w:tblPrEx>
          <w:tblCellMar>
            <w:top w:w="0" w:type="dxa"/>
            <w:left w:w="108" w:type="dxa"/>
            <w:bottom w:w="0" w:type="dxa"/>
            <w:right w:w="108" w:type="dxa"/>
          </w:tblCellMar>
        </w:tblPrEx>
        <w:trPr>
          <w:trHeight w:val="33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74E7A0A">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5DC7C825">
            <w:pPr>
              <w:jc w:val="left"/>
              <w:rPr>
                <w:rFonts w:ascii="宋体" w:cs="宋体"/>
                <w:color w:val="000000"/>
                <w:sz w:val="20"/>
                <w:szCs w:val="20"/>
              </w:rPr>
            </w:pPr>
          </w:p>
        </w:tc>
        <w:tc>
          <w:tcPr>
            <w:tcW w:w="1882" w:type="dxa"/>
            <w:tcBorders>
              <w:top w:val="nil"/>
              <w:left w:val="nil"/>
              <w:bottom w:val="single" w:color="000000" w:sz="4" w:space="0"/>
              <w:right w:val="single" w:color="000000" w:sz="4" w:space="0"/>
            </w:tcBorders>
            <w:shd w:val="clear" w:color="auto" w:fill="FFFFFF"/>
            <w:noWrap/>
            <w:vAlign w:val="center"/>
          </w:tcPr>
          <w:p w14:paraId="23D4A8C4">
            <w:pPr>
              <w:jc w:val="right"/>
              <w:rPr>
                <w:rFonts w:ascii="宋体" w:cs="宋体"/>
                <w:color w:val="000000"/>
                <w:sz w:val="20"/>
                <w:szCs w:val="20"/>
              </w:rPr>
            </w:pPr>
          </w:p>
        </w:tc>
        <w:tc>
          <w:tcPr>
            <w:tcW w:w="1193" w:type="dxa"/>
            <w:tcBorders>
              <w:top w:val="nil"/>
              <w:left w:val="nil"/>
              <w:bottom w:val="single" w:color="000000" w:sz="4" w:space="0"/>
              <w:right w:val="single" w:color="000000" w:sz="4" w:space="0"/>
            </w:tcBorders>
            <w:shd w:val="clear" w:color="auto" w:fill="FFFFFF"/>
            <w:noWrap/>
            <w:vAlign w:val="center"/>
          </w:tcPr>
          <w:p w14:paraId="49ED37BE">
            <w:pPr>
              <w:jc w:val="right"/>
              <w:rPr>
                <w:rFonts w:ascii="宋体" w:cs="宋体"/>
                <w:color w:val="000000"/>
                <w:sz w:val="20"/>
                <w:szCs w:val="20"/>
              </w:rPr>
            </w:pPr>
          </w:p>
        </w:tc>
        <w:tc>
          <w:tcPr>
            <w:tcW w:w="2859" w:type="dxa"/>
            <w:tcBorders>
              <w:top w:val="nil"/>
              <w:left w:val="nil"/>
              <w:bottom w:val="single" w:color="000000" w:sz="4" w:space="0"/>
              <w:right w:val="single" w:color="000000" w:sz="4" w:space="0"/>
            </w:tcBorders>
            <w:shd w:val="clear" w:color="auto" w:fill="FFFFFF"/>
            <w:noWrap/>
            <w:vAlign w:val="center"/>
          </w:tcPr>
          <w:p w14:paraId="3557598A">
            <w:pPr>
              <w:jc w:val="right"/>
              <w:rPr>
                <w:rFonts w:ascii="宋体" w:cs="宋体"/>
                <w:color w:val="000000"/>
                <w:sz w:val="20"/>
                <w:szCs w:val="20"/>
              </w:rPr>
            </w:pPr>
          </w:p>
        </w:tc>
      </w:tr>
      <w:tr w14:paraId="6CAF1501">
        <w:tblPrEx>
          <w:tblCellMar>
            <w:top w:w="0" w:type="dxa"/>
            <w:left w:w="108" w:type="dxa"/>
            <w:bottom w:w="0" w:type="dxa"/>
            <w:right w:w="108" w:type="dxa"/>
          </w:tblCellMar>
        </w:tblPrEx>
        <w:trPr>
          <w:trHeight w:val="333" w:hRule="atLeast"/>
          <w:jc w:val="center"/>
        </w:trPr>
        <w:tc>
          <w:tcPr>
            <w:tcW w:w="0" w:type="auto"/>
            <w:gridSpan w:val="7"/>
            <w:tcBorders>
              <w:top w:val="nil"/>
              <w:left w:val="nil"/>
              <w:bottom w:val="nil"/>
              <w:right w:val="nil"/>
            </w:tcBorders>
            <w:shd w:val="clear" w:color="auto" w:fill="FFFFFF"/>
            <w:noWrap/>
            <w:vAlign w:val="center"/>
          </w:tcPr>
          <w:p w14:paraId="7DCC4119">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14:paraId="0E86809E"/>
    <w:p w14:paraId="5BA1DD98"/>
    <w:p w14:paraId="0C626BC2">
      <w:pPr>
        <w:tabs>
          <w:tab w:val="left" w:pos="1020"/>
        </w:tabs>
      </w:pPr>
      <w:r>
        <w:tab/>
      </w:r>
    </w:p>
    <w:p w14:paraId="6BAC3C67"/>
    <w:p w14:paraId="3873FE4F">
      <w:p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linePitch="312" w:charSpace="0"/>
        </w:sectPr>
      </w:pPr>
    </w:p>
    <w:p w14:paraId="3B161BDF">
      <w:pPr>
        <w:pStyle w:val="7"/>
        <w:widowControl/>
        <w:spacing w:before="76" w:beforeAutospacing="0" w:after="76" w:afterAutospacing="0" w:line="450" w:lineRule="atLeast"/>
        <w:ind w:firstLine="240" w:firstLineChars="10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2021</w:t>
      </w:r>
      <w:r>
        <w:rPr>
          <w:rStyle w:val="10"/>
          <w:rFonts w:hint="eastAsia" w:ascii="微软雅黑" w:hAnsi="微软雅黑" w:eastAsia="微软雅黑" w:cs="微软雅黑"/>
          <w:color w:val="333333"/>
          <w:shd w:val="clear" w:color="auto" w:fill="FFFFFF"/>
        </w:rPr>
        <w:t>年部门决算情况说明</w:t>
      </w:r>
    </w:p>
    <w:p w14:paraId="12E59CE7">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b/>
          <w:sz w:val="28"/>
          <w:szCs w:val="28"/>
          <w:shd w:val="clear" w:color="auto" w:fill="FFFFFF"/>
        </w:rPr>
        <w:t>（一）预算执行情况分析</w:t>
      </w:r>
    </w:p>
    <w:p w14:paraId="6FE88567">
      <w:pPr>
        <w:shd w:val="clear" w:color="auto" w:fill="FFFFFF"/>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26.56</w:t>
      </w:r>
      <w:r>
        <w:rPr>
          <w:rFonts w:hint="eastAsia" w:ascii="宋体" w:hAnsi="宋体"/>
          <w:sz w:val="28"/>
          <w:szCs w:val="28"/>
        </w:rPr>
        <w:t>万元，其中人员经费</w:t>
      </w:r>
      <w:r>
        <w:rPr>
          <w:rFonts w:ascii="宋体" w:hAnsi="宋体"/>
          <w:sz w:val="28"/>
          <w:szCs w:val="28"/>
        </w:rPr>
        <w:t>17.29</w:t>
      </w:r>
      <w:r>
        <w:rPr>
          <w:rFonts w:hint="eastAsia" w:ascii="宋体" w:hAnsi="宋体"/>
          <w:sz w:val="28"/>
          <w:szCs w:val="28"/>
        </w:rPr>
        <w:t>万元，公用经费</w:t>
      </w:r>
      <w:r>
        <w:rPr>
          <w:rFonts w:ascii="宋体" w:hAnsi="宋体"/>
          <w:sz w:val="28"/>
          <w:szCs w:val="28"/>
        </w:rPr>
        <w:t>9.27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26.56</w:t>
      </w:r>
      <w:r>
        <w:rPr>
          <w:rFonts w:hint="eastAsia" w:ascii="宋体" w:hAnsi="宋体"/>
          <w:sz w:val="28"/>
          <w:szCs w:val="28"/>
        </w:rPr>
        <w:t>万元，其中人员经费</w:t>
      </w:r>
      <w:r>
        <w:rPr>
          <w:rFonts w:ascii="宋体" w:hAnsi="宋体"/>
          <w:sz w:val="28"/>
          <w:szCs w:val="28"/>
        </w:rPr>
        <w:t>17.29</w:t>
      </w:r>
      <w:r>
        <w:rPr>
          <w:rFonts w:hint="eastAsia" w:ascii="宋体" w:hAnsi="宋体"/>
          <w:sz w:val="28"/>
          <w:szCs w:val="28"/>
        </w:rPr>
        <w:t>万元，公用经费</w:t>
      </w:r>
      <w:r>
        <w:rPr>
          <w:rFonts w:ascii="宋体" w:hAnsi="宋体"/>
          <w:sz w:val="28"/>
          <w:szCs w:val="28"/>
        </w:rPr>
        <w:t>9.27</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17.79</w:t>
      </w:r>
      <w:r>
        <w:rPr>
          <w:rFonts w:hint="eastAsia" w:ascii="宋体" w:hAnsi="宋体"/>
          <w:sz w:val="28"/>
          <w:szCs w:val="28"/>
        </w:rPr>
        <w:t>万元，其中人员经费</w:t>
      </w:r>
      <w:r>
        <w:rPr>
          <w:rFonts w:ascii="宋体" w:hAnsi="宋体"/>
          <w:sz w:val="28"/>
          <w:szCs w:val="28"/>
        </w:rPr>
        <w:t>9.74</w:t>
      </w:r>
      <w:r>
        <w:rPr>
          <w:rFonts w:hint="eastAsia" w:ascii="宋体" w:hAnsi="宋体"/>
          <w:sz w:val="28"/>
          <w:szCs w:val="28"/>
        </w:rPr>
        <w:t>万元，公用经费</w:t>
      </w:r>
      <w:r>
        <w:rPr>
          <w:rFonts w:ascii="宋体" w:hAnsi="宋体"/>
          <w:sz w:val="28"/>
          <w:szCs w:val="28"/>
        </w:rPr>
        <w:t>8.05</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17.79</w:t>
      </w:r>
      <w:r>
        <w:rPr>
          <w:rFonts w:hint="eastAsia" w:ascii="宋体" w:hAnsi="宋体"/>
          <w:sz w:val="28"/>
          <w:szCs w:val="28"/>
        </w:rPr>
        <w:t>万元，其中人员经费</w:t>
      </w:r>
      <w:r>
        <w:rPr>
          <w:rFonts w:ascii="宋体" w:hAnsi="宋体"/>
          <w:sz w:val="28"/>
          <w:szCs w:val="28"/>
        </w:rPr>
        <w:t>9.74</w:t>
      </w:r>
      <w:r>
        <w:rPr>
          <w:rFonts w:hint="eastAsia" w:ascii="宋体" w:hAnsi="宋体"/>
          <w:sz w:val="28"/>
          <w:szCs w:val="28"/>
        </w:rPr>
        <w:t>万元，公用经费</w:t>
      </w:r>
      <w:r>
        <w:rPr>
          <w:rFonts w:ascii="宋体" w:hAnsi="宋体"/>
          <w:sz w:val="28"/>
          <w:szCs w:val="28"/>
        </w:rPr>
        <w:t>8.05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8.77</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8.77</w:t>
      </w:r>
      <w:r>
        <w:rPr>
          <w:rFonts w:hint="eastAsia" w:ascii="宋体" w:hAnsi="宋体"/>
          <w:sz w:val="28"/>
          <w:szCs w:val="28"/>
        </w:rPr>
        <w:t>万元。</w:t>
      </w:r>
    </w:p>
    <w:p w14:paraId="47663FD4">
      <w:pPr>
        <w:shd w:val="clear" w:color="auto" w:fill="FFFFFF"/>
        <w:snapToGrid w:val="0"/>
        <w:spacing w:line="560" w:lineRule="atLeast"/>
        <w:ind w:firstLine="560" w:firstLineChars="200"/>
        <w:rPr>
          <w:rFonts w:hint="eastAsia" w:ascii="宋体" w:hAnsi="宋体" w:eastAsia="宋体"/>
          <w:sz w:val="28"/>
          <w:szCs w:val="28"/>
          <w:lang w:eastAsia="zh-CN"/>
        </w:rPr>
      </w:pPr>
    </w:p>
    <w:p w14:paraId="0624C100">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14:paraId="64847F99">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47.52</w:t>
      </w:r>
      <w:r>
        <w:rPr>
          <w:rFonts w:hint="eastAsia" w:ascii="宋体" w:hAnsi="宋体"/>
          <w:sz w:val="28"/>
          <w:szCs w:val="28"/>
        </w:rPr>
        <w:t>万元。其中财政决算收入</w:t>
      </w:r>
      <w:r>
        <w:rPr>
          <w:rFonts w:ascii="宋体" w:hAnsi="宋体"/>
          <w:sz w:val="28"/>
          <w:szCs w:val="28"/>
        </w:rPr>
        <w:t>44.47</w:t>
      </w:r>
      <w:r>
        <w:rPr>
          <w:rFonts w:hint="eastAsia" w:ascii="宋体" w:hAnsi="宋体"/>
          <w:sz w:val="28"/>
          <w:szCs w:val="28"/>
        </w:rPr>
        <w:t>万元，其他收入</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47.52</w:t>
      </w:r>
      <w:r>
        <w:rPr>
          <w:rFonts w:hint="eastAsia" w:ascii="宋体" w:hAnsi="宋体"/>
          <w:sz w:val="28"/>
          <w:szCs w:val="28"/>
        </w:rPr>
        <w:t>万元，其中财政决算支出</w:t>
      </w:r>
      <w:r>
        <w:rPr>
          <w:rFonts w:ascii="宋体" w:hAnsi="宋体"/>
          <w:sz w:val="28"/>
          <w:szCs w:val="28"/>
        </w:rPr>
        <w:t>44.47</w:t>
      </w:r>
      <w:r>
        <w:rPr>
          <w:rFonts w:hint="eastAsia" w:ascii="宋体" w:hAnsi="宋体"/>
          <w:sz w:val="28"/>
          <w:szCs w:val="28"/>
        </w:rPr>
        <w:t>万元，其他资金支出</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26.56</w:t>
      </w:r>
      <w:r>
        <w:rPr>
          <w:rFonts w:hint="eastAsia" w:ascii="宋体" w:hAnsi="宋体"/>
          <w:sz w:val="28"/>
          <w:szCs w:val="28"/>
        </w:rPr>
        <w:t>万元，财拔决算比预算多</w:t>
      </w:r>
      <w:r>
        <w:rPr>
          <w:rFonts w:ascii="宋体" w:hAnsi="宋体"/>
          <w:sz w:val="28"/>
          <w:szCs w:val="28"/>
        </w:rPr>
        <w:t>17.91</w:t>
      </w:r>
      <w:r>
        <w:rPr>
          <w:rFonts w:hint="eastAsia" w:ascii="宋体" w:hAnsi="宋体"/>
          <w:sz w:val="28"/>
          <w:szCs w:val="28"/>
        </w:rPr>
        <w:t>万元，增幅</w:t>
      </w:r>
      <w:r>
        <w:rPr>
          <w:rFonts w:ascii="宋体" w:hAnsi="宋体"/>
          <w:sz w:val="28"/>
          <w:szCs w:val="28"/>
        </w:rPr>
        <w:t>67.43%</w:t>
      </w:r>
      <w:r>
        <w:rPr>
          <w:rFonts w:hint="eastAsia" w:ascii="宋体" w:hAnsi="宋体"/>
          <w:sz w:val="28"/>
          <w:szCs w:val="28"/>
        </w:rPr>
        <w:t>，主要原因为本部门本期开展活动增加。</w:t>
      </w:r>
    </w:p>
    <w:p w14:paraId="4C645A4D">
      <w:pPr>
        <w:shd w:val="clear" w:color="auto" w:fill="FFFFFF"/>
        <w:snapToGrid w:val="0"/>
        <w:spacing w:line="560" w:lineRule="atLeast"/>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14:paraId="76A6C78B">
      <w:pPr>
        <w:shd w:val="clear" w:color="auto" w:fill="FFFFFF"/>
        <w:snapToGrid w:val="0"/>
        <w:spacing w:line="560" w:lineRule="atLeast"/>
        <w:ind w:firstLine="560" w:firstLineChars="200"/>
        <w:rPr>
          <w:rFonts w:ascii="宋体" w:cs="宋体"/>
          <w:color w:val="333333"/>
          <w:sz w:val="28"/>
          <w:szCs w:val="28"/>
        </w:rPr>
      </w:pPr>
      <w:r>
        <w:rPr>
          <w:rFonts w:ascii="宋体" w:hAnsi="宋体"/>
          <w:sz w:val="28"/>
          <w:szCs w:val="28"/>
        </w:rPr>
        <w:t>2021</w:t>
      </w:r>
      <w:r>
        <w:rPr>
          <w:rFonts w:hint="eastAsia" w:ascii="宋体" w:hAnsi="宋体"/>
          <w:sz w:val="28"/>
          <w:szCs w:val="28"/>
        </w:rPr>
        <w:t>年全年总收入</w:t>
      </w:r>
      <w:r>
        <w:rPr>
          <w:rFonts w:ascii="宋体" w:hAnsi="宋体"/>
          <w:sz w:val="28"/>
          <w:szCs w:val="28"/>
        </w:rPr>
        <w:t>47.52</w:t>
      </w:r>
      <w:r>
        <w:rPr>
          <w:rFonts w:hint="eastAsia" w:ascii="宋体" w:hAnsi="宋体"/>
          <w:sz w:val="28"/>
          <w:szCs w:val="28"/>
        </w:rPr>
        <w:t>万元。其中财政决算收入</w:t>
      </w:r>
      <w:r>
        <w:rPr>
          <w:rFonts w:ascii="宋体" w:hAnsi="宋体"/>
          <w:sz w:val="28"/>
          <w:szCs w:val="28"/>
        </w:rPr>
        <w:t>44.47</w:t>
      </w:r>
      <w:r>
        <w:rPr>
          <w:rFonts w:hint="eastAsia" w:ascii="宋体" w:hAnsi="宋体"/>
          <w:sz w:val="28"/>
          <w:szCs w:val="28"/>
        </w:rPr>
        <w:t>万元，其他收入</w:t>
      </w:r>
      <w:r>
        <w:rPr>
          <w:rFonts w:ascii="宋体" w:hAnsi="宋体"/>
          <w:sz w:val="28"/>
          <w:szCs w:val="28"/>
        </w:rPr>
        <w:t>3.05</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47.52</w:t>
      </w:r>
      <w:r>
        <w:rPr>
          <w:rFonts w:hint="eastAsia" w:ascii="宋体" w:hAnsi="宋体"/>
          <w:sz w:val="28"/>
          <w:szCs w:val="28"/>
        </w:rPr>
        <w:t>万元，其中财政决算支出</w:t>
      </w:r>
      <w:r>
        <w:rPr>
          <w:rFonts w:ascii="宋体" w:hAnsi="宋体"/>
          <w:sz w:val="28"/>
          <w:szCs w:val="28"/>
        </w:rPr>
        <w:t>44.47</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30.62</w:t>
      </w:r>
      <w:r>
        <w:rPr>
          <w:rFonts w:hint="eastAsia" w:ascii="宋体" w:hAnsi="宋体" w:cs="宋体"/>
          <w:color w:val="333333"/>
          <w:sz w:val="28"/>
          <w:szCs w:val="28"/>
        </w:rPr>
        <w:t>万元增加</w:t>
      </w:r>
      <w:r>
        <w:rPr>
          <w:rFonts w:ascii="宋体" w:hAnsi="宋体" w:cs="宋体"/>
          <w:color w:val="333333"/>
          <w:sz w:val="28"/>
          <w:szCs w:val="28"/>
        </w:rPr>
        <w:t>13.85</w:t>
      </w:r>
      <w:r>
        <w:rPr>
          <w:rFonts w:hint="eastAsia" w:ascii="宋体" w:hAnsi="宋体" w:cs="宋体"/>
          <w:color w:val="333333"/>
          <w:sz w:val="28"/>
          <w:szCs w:val="28"/>
        </w:rPr>
        <w:t>万元，增幅</w:t>
      </w:r>
      <w:r>
        <w:rPr>
          <w:rFonts w:ascii="宋体" w:hAnsi="宋体" w:cs="宋体"/>
          <w:color w:val="333333"/>
          <w:sz w:val="28"/>
          <w:szCs w:val="28"/>
        </w:rPr>
        <w:t>45.23%</w:t>
      </w:r>
      <w:r>
        <w:rPr>
          <w:rFonts w:hint="eastAsia" w:ascii="宋体" w:hAnsi="宋体" w:cs="宋体"/>
          <w:color w:val="333333"/>
          <w:sz w:val="28"/>
          <w:szCs w:val="28"/>
        </w:rPr>
        <w:t>，其主要原因为本年开展妇联活动增加</w:t>
      </w:r>
      <w:r>
        <w:rPr>
          <w:rFonts w:hint="eastAsia" w:ascii="宋体" w:hAnsi="宋体" w:cs="仿宋_GB2312"/>
          <w:color w:val="000000"/>
          <w:sz w:val="28"/>
          <w:szCs w:val="28"/>
        </w:rPr>
        <w:t>所致，</w:t>
      </w:r>
      <w:r>
        <w:rPr>
          <w:rFonts w:hint="eastAsia" w:ascii="宋体" w:hAnsi="宋体" w:cs="宋体"/>
          <w:color w:val="333333"/>
          <w:sz w:val="28"/>
          <w:szCs w:val="28"/>
        </w:rPr>
        <w:t>与年初预算数</w:t>
      </w:r>
      <w:r>
        <w:rPr>
          <w:rFonts w:ascii="宋体" w:hAnsi="宋体" w:cs="宋体"/>
          <w:color w:val="333333"/>
          <w:sz w:val="28"/>
          <w:szCs w:val="28"/>
        </w:rPr>
        <w:t>26.56</w:t>
      </w:r>
      <w:r>
        <w:rPr>
          <w:rFonts w:hint="eastAsia" w:ascii="宋体" w:hAnsi="宋体" w:cs="宋体"/>
          <w:color w:val="333333"/>
          <w:sz w:val="28"/>
          <w:szCs w:val="28"/>
        </w:rPr>
        <w:t>万元对比增加</w:t>
      </w:r>
      <w:r>
        <w:rPr>
          <w:rFonts w:ascii="宋体" w:hAnsi="宋体" w:cs="宋体"/>
          <w:color w:val="333333"/>
          <w:sz w:val="28"/>
          <w:szCs w:val="28"/>
        </w:rPr>
        <w:t>17.91</w:t>
      </w:r>
      <w:r>
        <w:rPr>
          <w:rFonts w:hint="eastAsia" w:ascii="宋体" w:hAnsi="宋体" w:cs="宋体"/>
          <w:color w:val="333333"/>
          <w:sz w:val="28"/>
          <w:szCs w:val="28"/>
        </w:rPr>
        <w:t>万元，增幅</w:t>
      </w:r>
      <w:r>
        <w:rPr>
          <w:rFonts w:ascii="宋体" w:hAnsi="宋体" w:cs="宋体"/>
          <w:color w:val="333333"/>
          <w:sz w:val="28"/>
          <w:szCs w:val="28"/>
        </w:rPr>
        <w:t>67.43%</w:t>
      </w:r>
      <w:r>
        <w:rPr>
          <w:rFonts w:hint="eastAsia" w:ascii="宋体" w:hAnsi="宋体" w:cs="宋体"/>
          <w:color w:val="333333"/>
          <w:sz w:val="28"/>
          <w:szCs w:val="28"/>
        </w:rPr>
        <w:t>，其主要原因为</w:t>
      </w:r>
      <w:r>
        <w:rPr>
          <w:rFonts w:hint="eastAsia" w:ascii="宋体" w:hAnsi="宋体" w:cs="仿宋_GB2312"/>
          <w:color w:val="000000"/>
          <w:sz w:val="28"/>
          <w:szCs w:val="28"/>
        </w:rPr>
        <w:t>本年</w:t>
      </w:r>
      <w:r>
        <w:rPr>
          <w:rFonts w:hint="eastAsia" w:ascii="宋体" w:hAnsi="宋体" w:cs="宋体"/>
          <w:color w:val="333333"/>
          <w:sz w:val="28"/>
          <w:szCs w:val="28"/>
        </w:rPr>
        <w:t>开展妇联活动增加</w:t>
      </w:r>
      <w:r>
        <w:rPr>
          <w:rFonts w:hint="eastAsia" w:ascii="宋体" w:hAnsi="宋体" w:cs="仿宋_GB2312"/>
          <w:color w:val="000000"/>
          <w:sz w:val="28"/>
          <w:szCs w:val="28"/>
        </w:rPr>
        <w:t>所致，</w:t>
      </w:r>
    </w:p>
    <w:p w14:paraId="018DF647">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sz w:val="28"/>
          <w:szCs w:val="28"/>
        </w:rPr>
        <w:t>按以下分类说明</w:t>
      </w:r>
    </w:p>
    <w:p w14:paraId="45A2B8FF">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44.47</w:t>
      </w:r>
      <w:r>
        <w:rPr>
          <w:rFonts w:hint="eastAsia" w:ascii="宋体" w:hAnsi="宋体"/>
          <w:sz w:val="28"/>
          <w:szCs w:val="28"/>
        </w:rPr>
        <w:t>万元。</w:t>
      </w:r>
    </w:p>
    <w:p w14:paraId="586F4F37">
      <w:pPr>
        <w:pStyle w:val="7"/>
        <w:widowControl/>
        <w:spacing w:before="76" w:beforeAutospacing="0" w:after="76" w:afterAutospacing="0" w:line="450" w:lineRule="atLeast"/>
        <w:ind w:firstLine="420"/>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44.47</w:t>
      </w:r>
      <w:r>
        <w:rPr>
          <w:rFonts w:hint="eastAsia" w:ascii="宋体" w:hAnsi="宋体"/>
          <w:sz w:val="28"/>
          <w:szCs w:val="28"/>
        </w:rPr>
        <w:t>万元，其中人员经费</w:t>
      </w:r>
      <w:r>
        <w:rPr>
          <w:rFonts w:ascii="宋体" w:hAnsi="宋体"/>
          <w:sz w:val="28"/>
          <w:szCs w:val="28"/>
        </w:rPr>
        <w:t>26.76</w:t>
      </w:r>
      <w:r>
        <w:rPr>
          <w:rFonts w:hint="eastAsia" w:ascii="宋体" w:hAnsi="宋体"/>
          <w:sz w:val="28"/>
          <w:szCs w:val="28"/>
        </w:rPr>
        <w:t>万元；公用经费</w:t>
      </w:r>
      <w:r>
        <w:rPr>
          <w:rFonts w:ascii="宋体" w:hAnsi="宋体"/>
          <w:sz w:val="28"/>
          <w:szCs w:val="28"/>
        </w:rPr>
        <w:t>17.71</w:t>
      </w:r>
      <w:r>
        <w:rPr>
          <w:rFonts w:hint="eastAsia" w:ascii="宋体" w:hAnsi="宋体"/>
          <w:sz w:val="28"/>
          <w:szCs w:val="28"/>
        </w:rPr>
        <w:t>万元。</w:t>
      </w:r>
    </w:p>
    <w:p w14:paraId="60418E4E">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44.47</w:t>
      </w:r>
      <w:r>
        <w:rPr>
          <w:rFonts w:hint="eastAsia" w:ascii="宋体" w:hAnsi="宋体"/>
          <w:sz w:val="28"/>
          <w:szCs w:val="28"/>
        </w:rPr>
        <w:t>万元。其中工资福利支出</w:t>
      </w:r>
      <w:r>
        <w:rPr>
          <w:rFonts w:ascii="宋体" w:hAnsi="宋体"/>
          <w:sz w:val="28"/>
          <w:szCs w:val="28"/>
        </w:rPr>
        <w:t>26.76</w:t>
      </w:r>
      <w:r>
        <w:rPr>
          <w:rFonts w:hint="eastAsia" w:ascii="宋体" w:hAnsi="宋体"/>
          <w:sz w:val="28"/>
          <w:szCs w:val="28"/>
        </w:rPr>
        <w:t>万元；商品服务支出</w:t>
      </w:r>
      <w:r>
        <w:rPr>
          <w:rFonts w:ascii="宋体" w:hAnsi="宋体"/>
          <w:sz w:val="28"/>
          <w:szCs w:val="28"/>
        </w:rPr>
        <w:t>15.80</w:t>
      </w:r>
      <w:r>
        <w:rPr>
          <w:rFonts w:hint="eastAsia" w:ascii="宋体" w:hAnsi="宋体"/>
          <w:sz w:val="28"/>
          <w:szCs w:val="28"/>
        </w:rPr>
        <w:t>万元；资本性支出</w:t>
      </w:r>
      <w:r>
        <w:rPr>
          <w:rFonts w:ascii="宋体" w:hAnsi="宋体"/>
          <w:sz w:val="28"/>
          <w:szCs w:val="28"/>
        </w:rPr>
        <w:t>1.91</w:t>
      </w:r>
      <w:r>
        <w:rPr>
          <w:rFonts w:hint="eastAsia" w:ascii="宋体" w:hAnsi="宋体"/>
          <w:sz w:val="28"/>
          <w:szCs w:val="28"/>
        </w:rPr>
        <w:t>万元。</w:t>
      </w:r>
    </w:p>
    <w:p w14:paraId="4AB7E13E">
      <w:pPr>
        <w:shd w:val="clear" w:color="auto" w:fill="FFFFFF"/>
        <w:snapToGrid w:val="0"/>
        <w:spacing w:line="560" w:lineRule="atLeast"/>
        <w:ind w:firstLine="560" w:firstLineChars="200"/>
        <w:rPr>
          <w:rFonts w:ascii="宋体" w:cs="宋体"/>
          <w:color w:val="333333"/>
          <w:sz w:val="28"/>
          <w:szCs w:val="28"/>
        </w:rPr>
      </w:pPr>
    </w:p>
    <w:p w14:paraId="375C12AD">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（二）关于“三公”经费支出说明</w:t>
      </w:r>
    </w:p>
    <w:p w14:paraId="28E31FA2">
      <w:pPr>
        <w:shd w:val="clear" w:color="auto" w:fill="FFFFFF"/>
        <w:snapToGrid w:val="0"/>
        <w:spacing w:line="560" w:lineRule="atLeast"/>
        <w:ind w:firstLine="560" w:firstLineChars="200"/>
        <w:rPr>
          <w:rFonts w:hint="eastAsia" w:ascii="宋体" w:hAnsi="宋体" w:eastAsia="宋体" w:cs="宋体"/>
          <w:color w:val="333333"/>
          <w:sz w:val="28"/>
          <w:szCs w:val="28"/>
          <w:lang w:eastAsia="zh-CN"/>
        </w:rPr>
      </w:pPr>
      <w:r>
        <w:rPr>
          <w:rFonts w:ascii="宋体" w:hAnsi="宋体" w:cs="宋体"/>
          <w:color w:val="333333"/>
          <w:sz w:val="28"/>
          <w:szCs w:val="28"/>
        </w:rPr>
        <w:t>2021</w:t>
      </w:r>
      <w:r>
        <w:rPr>
          <w:rFonts w:hint="eastAsia" w:ascii="宋体" w:hAnsi="宋体" w:cs="宋体"/>
          <w:color w:val="333333"/>
          <w:sz w:val="28"/>
          <w:szCs w:val="28"/>
        </w:rPr>
        <w:t>年“三公”经费年初预算数为</w:t>
      </w:r>
      <w:r>
        <w:rPr>
          <w:rFonts w:ascii="宋体" w:cs="宋体"/>
          <w:color w:val="333333"/>
          <w:sz w:val="28"/>
          <w:szCs w:val="28"/>
        </w:rPr>
        <w:t>2000</w:t>
      </w:r>
      <w:r>
        <w:rPr>
          <w:rFonts w:hint="eastAsia" w:ascii="宋体" w:cs="宋体"/>
          <w:color w:val="333333"/>
          <w:sz w:val="28"/>
          <w:szCs w:val="28"/>
        </w:rPr>
        <w:t>元</w:t>
      </w:r>
      <w:r>
        <w:rPr>
          <w:rFonts w:hint="eastAsia" w:ascii="宋体" w:hAnsi="宋体" w:cs="宋体"/>
          <w:color w:val="333333"/>
          <w:sz w:val="28"/>
          <w:szCs w:val="28"/>
        </w:rPr>
        <w:t>，决算总支出</w:t>
      </w:r>
      <w:r>
        <w:rPr>
          <w:rFonts w:ascii="宋体" w:cs="宋体"/>
          <w:color w:val="333333"/>
          <w:sz w:val="28"/>
          <w:szCs w:val="28"/>
        </w:rPr>
        <w:t>0</w:t>
      </w:r>
      <w:r>
        <w:rPr>
          <w:rFonts w:hint="eastAsia" w:ascii="宋体" w:hAnsi="宋体" w:cs="宋体"/>
          <w:color w:val="333333"/>
          <w:sz w:val="28"/>
          <w:szCs w:val="28"/>
        </w:rPr>
        <w:t>元，</w:t>
      </w:r>
      <w:r>
        <w:rPr>
          <w:rFonts w:hint="eastAsia" w:ascii="宋体" w:hAnsi="宋体"/>
          <w:sz w:val="28"/>
          <w:szCs w:val="28"/>
        </w:rPr>
        <w:t>与</w:t>
      </w:r>
      <w:r>
        <w:rPr>
          <w:rFonts w:ascii="宋体" w:hAnsi="宋体"/>
          <w:sz w:val="28"/>
          <w:szCs w:val="28"/>
        </w:rPr>
        <w:t>2020</w:t>
      </w:r>
      <w:r>
        <w:rPr>
          <w:rFonts w:hint="eastAsia" w:ascii="宋体" w:hAnsi="宋体"/>
          <w:sz w:val="28"/>
          <w:szCs w:val="28"/>
        </w:rPr>
        <w:t>年度持平，</w:t>
      </w:r>
      <w:r>
        <w:rPr>
          <w:rFonts w:hint="eastAsia" w:ascii="宋体" w:hAnsi="宋体" w:cs="宋体"/>
          <w:color w:val="333333"/>
          <w:sz w:val="28"/>
          <w:szCs w:val="28"/>
        </w:rPr>
        <w:t>其中：</w:t>
      </w:r>
    </w:p>
    <w:p w14:paraId="109D4F16">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公务车运行维护费</w:t>
      </w:r>
      <w:r>
        <w:rPr>
          <w:rFonts w:ascii="宋体" w:cs="宋体"/>
          <w:color w:val="333333"/>
          <w:sz w:val="28"/>
          <w:szCs w:val="28"/>
        </w:rPr>
        <w:t>0</w:t>
      </w:r>
      <w:r>
        <w:rPr>
          <w:rFonts w:hint="eastAsia" w:ascii="宋体" w:hAnsi="宋体" w:cs="宋体"/>
          <w:color w:val="333333"/>
          <w:sz w:val="28"/>
          <w:szCs w:val="28"/>
        </w:rPr>
        <w:t>元，年初预算数</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cs="宋体"/>
          <w:color w:val="333333"/>
          <w:sz w:val="28"/>
          <w:szCs w:val="28"/>
        </w:rPr>
        <w:t>0</w:t>
      </w:r>
      <w:r>
        <w:rPr>
          <w:rFonts w:hint="eastAsia" w:ascii="宋体" w:hAnsi="宋体" w:cs="宋体"/>
          <w:color w:val="333333"/>
          <w:sz w:val="28"/>
          <w:szCs w:val="28"/>
        </w:rPr>
        <w:t>元，减少幅度为</w:t>
      </w:r>
      <w:r>
        <w:rPr>
          <w:rFonts w:ascii="宋体" w:hAnsi="宋体" w:cs="宋体"/>
          <w:color w:val="333333"/>
          <w:sz w:val="28"/>
          <w:szCs w:val="28"/>
        </w:rPr>
        <w:t>0%</w:t>
      </w:r>
    </w:p>
    <w:p w14:paraId="4BCF3ACE">
      <w:pPr>
        <w:shd w:val="clear" w:color="auto" w:fill="FFFFFF"/>
        <w:snapToGrid w:val="0"/>
        <w:spacing w:line="560" w:lineRule="atLeas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14:paraId="265DDCC8">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公务接待费</w:t>
      </w:r>
      <w:r>
        <w:rPr>
          <w:rFonts w:ascii="宋体" w:cs="宋体"/>
          <w:color w:val="333333"/>
          <w:sz w:val="28"/>
          <w:szCs w:val="28"/>
        </w:rPr>
        <w:t>0</w:t>
      </w:r>
      <w:r>
        <w:rPr>
          <w:rFonts w:hint="eastAsia" w:ascii="宋体" w:hAnsi="宋体" w:cs="宋体"/>
          <w:color w:val="333333"/>
          <w:sz w:val="28"/>
          <w:szCs w:val="28"/>
        </w:rPr>
        <w:t>元，年初预算数</w:t>
      </w:r>
      <w:r>
        <w:rPr>
          <w:rFonts w:ascii="宋体" w:hAnsi="宋体" w:cs="宋体"/>
          <w:color w:val="333333"/>
          <w:sz w:val="28"/>
          <w:szCs w:val="28"/>
        </w:rPr>
        <w:t>2000</w:t>
      </w:r>
      <w:r>
        <w:rPr>
          <w:rFonts w:hint="eastAsia" w:ascii="宋体" w:hAnsi="宋体" w:cs="宋体"/>
          <w:color w:val="333333"/>
          <w:sz w:val="28"/>
          <w:szCs w:val="28"/>
        </w:rPr>
        <w:t>元，决算数比预算数减少</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元，减幅为</w:t>
      </w:r>
      <w:r>
        <w:rPr>
          <w:rFonts w:ascii="宋体" w:hAnsi="宋体" w:cs="宋体"/>
          <w:color w:val="333333"/>
          <w:sz w:val="28"/>
          <w:szCs w:val="28"/>
        </w:rPr>
        <w:t>100%</w:t>
      </w:r>
      <w:r>
        <w:rPr>
          <w:rFonts w:hint="eastAsia" w:ascii="宋体" w:hAnsi="宋体" w:cs="宋体"/>
          <w:color w:val="333333"/>
          <w:sz w:val="28"/>
          <w:szCs w:val="28"/>
        </w:rPr>
        <w:t>，接待批次为</w:t>
      </w:r>
      <w:r>
        <w:rPr>
          <w:rFonts w:ascii="宋体" w:cs="宋体"/>
          <w:color w:val="333333"/>
          <w:sz w:val="28"/>
          <w:szCs w:val="28"/>
        </w:rPr>
        <w:t>0</w:t>
      </w:r>
      <w:r>
        <w:rPr>
          <w:rFonts w:hint="eastAsia" w:ascii="宋体" w:hAnsi="宋体" w:cs="宋体"/>
          <w:color w:val="333333"/>
          <w:sz w:val="28"/>
          <w:szCs w:val="28"/>
        </w:rPr>
        <w:t>次，接待人数为</w:t>
      </w:r>
      <w:r>
        <w:rPr>
          <w:rFonts w:ascii="宋体" w:cs="宋体"/>
          <w:color w:val="333333"/>
          <w:sz w:val="28"/>
          <w:szCs w:val="28"/>
        </w:rPr>
        <w:t>0</w:t>
      </w:r>
      <w:r>
        <w:rPr>
          <w:rFonts w:hint="eastAsia" w:ascii="宋体" w:hAnsi="宋体" w:cs="宋体"/>
          <w:color w:val="333333"/>
          <w:sz w:val="28"/>
          <w:szCs w:val="28"/>
        </w:rPr>
        <w:t>人；</w:t>
      </w:r>
    </w:p>
    <w:p w14:paraId="450712B2">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因公出国（境）费</w:t>
      </w:r>
      <w:r>
        <w:rPr>
          <w:rFonts w:ascii="宋体" w:cs="宋体"/>
          <w:color w:val="333333"/>
          <w:sz w:val="28"/>
          <w:szCs w:val="28"/>
        </w:rPr>
        <w:t>0</w:t>
      </w:r>
      <w:r>
        <w:rPr>
          <w:rFonts w:hint="eastAsia" w:ascii="宋体" w:hAnsi="宋体" w:cs="宋体"/>
          <w:color w:val="333333"/>
          <w:sz w:val="28"/>
          <w:szCs w:val="28"/>
        </w:rPr>
        <w:t>元，预算数</w:t>
      </w:r>
      <w:r>
        <w:rPr>
          <w:rFonts w:ascii="宋体" w:cs="宋体"/>
          <w:color w:val="333333"/>
          <w:sz w:val="28"/>
          <w:szCs w:val="28"/>
        </w:rPr>
        <w:t>0</w:t>
      </w:r>
      <w:r>
        <w:rPr>
          <w:rFonts w:hint="eastAsia" w:ascii="宋体" w:hAnsi="宋体" w:cs="宋体"/>
          <w:color w:val="333333"/>
          <w:sz w:val="28"/>
          <w:szCs w:val="28"/>
        </w:rPr>
        <w:t>元，决算数比预算数增加</w:t>
      </w:r>
      <w:r>
        <w:rPr>
          <w:rFonts w:ascii="宋体" w:cs="宋体"/>
          <w:color w:val="333333"/>
          <w:sz w:val="28"/>
          <w:szCs w:val="28"/>
        </w:rPr>
        <w:t>0</w:t>
      </w:r>
      <w:r>
        <w:rPr>
          <w:rFonts w:hint="eastAsia" w:ascii="宋体" w:hAnsi="宋体" w:cs="宋体"/>
          <w:color w:val="333333"/>
          <w:sz w:val="28"/>
          <w:szCs w:val="28"/>
        </w:rPr>
        <w:t>元，增长幅度为</w:t>
      </w:r>
      <w:r>
        <w:rPr>
          <w:rFonts w:ascii="宋体" w:hAnsi="宋体" w:cs="宋体"/>
          <w:color w:val="333333"/>
          <w:sz w:val="28"/>
          <w:szCs w:val="28"/>
        </w:rPr>
        <w:t>0%</w:t>
      </w:r>
      <w:r>
        <w:rPr>
          <w:rFonts w:hint="eastAsia" w:ascii="宋体" w:hAnsi="宋体" w:cs="宋体"/>
          <w:color w:val="333333"/>
          <w:sz w:val="28"/>
          <w:szCs w:val="28"/>
        </w:rPr>
        <w:t>，本单位因公出国（境）团组数</w:t>
      </w:r>
      <w:r>
        <w:rPr>
          <w:rFonts w:ascii="宋体" w:cs="宋体"/>
          <w:color w:val="333333"/>
          <w:sz w:val="28"/>
          <w:szCs w:val="28"/>
        </w:rPr>
        <w:t>0</w:t>
      </w:r>
      <w:r>
        <w:rPr>
          <w:rFonts w:hint="eastAsia" w:ascii="宋体" w:hAnsi="宋体" w:cs="宋体"/>
          <w:color w:val="333333"/>
          <w:sz w:val="28"/>
          <w:szCs w:val="28"/>
        </w:rPr>
        <w:t>、人数</w:t>
      </w:r>
      <w:r>
        <w:rPr>
          <w:rFonts w:ascii="宋体" w:cs="宋体"/>
          <w:color w:val="333333"/>
          <w:sz w:val="28"/>
          <w:szCs w:val="28"/>
        </w:rPr>
        <w:t>0</w:t>
      </w:r>
      <w:r>
        <w:rPr>
          <w:rFonts w:hint="eastAsia" w:ascii="宋体" w:hAnsi="宋体" w:cs="宋体"/>
          <w:color w:val="333333"/>
          <w:sz w:val="28"/>
          <w:szCs w:val="28"/>
        </w:rPr>
        <w:t>。</w:t>
      </w:r>
    </w:p>
    <w:p w14:paraId="1516597E">
      <w:pPr>
        <w:shd w:val="clear" w:color="auto" w:fill="FFFFFF"/>
        <w:snapToGrid w:val="0"/>
        <w:spacing w:line="560" w:lineRule="atLeast"/>
        <w:ind w:firstLine="560" w:firstLineChars="200"/>
        <w:rPr>
          <w:rFonts w:hint="eastAsia" w:ascii="宋体" w:hAnsi="宋体" w:eastAsia="宋体" w:cs="宋体"/>
          <w:color w:val="333333"/>
          <w:sz w:val="28"/>
          <w:szCs w:val="28"/>
          <w:lang w:eastAsia="zh-CN"/>
        </w:rPr>
      </w:pPr>
      <w:r>
        <w:rPr>
          <w:rFonts w:ascii="宋体" w:hAnsi="宋体" w:cs="宋体"/>
          <w:color w:val="333333"/>
          <w:sz w:val="28"/>
          <w:szCs w:val="28"/>
        </w:rPr>
        <w:t>2020</w:t>
      </w:r>
      <w:r>
        <w:rPr>
          <w:rFonts w:hint="eastAsia" w:ascii="宋体" w:hAnsi="宋体" w:cs="宋体"/>
          <w:color w:val="333333"/>
          <w:sz w:val="28"/>
          <w:szCs w:val="28"/>
        </w:rPr>
        <w:t>年“三公”经费年初预算数为</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，决算总支出</w:t>
      </w:r>
      <w:r>
        <w:rPr>
          <w:rFonts w:ascii="宋体" w:cs="宋体"/>
          <w:color w:val="333333"/>
          <w:sz w:val="28"/>
          <w:szCs w:val="28"/>
        </w:rPr>
        <w:t>0</w:t>
      </w:r>
      <w:r>
        <w:rPr>
          <w:rFonts w:hint="eastAsia" w:ascii="宋体" w:hAnsi="宋体" w:cs="宋体"/>
          <w:color w:val="333333"/>
          <w:sz w:val="28"/>
          <w:szCs w:val="28"/>
        </w:rPr>
        <w:t>元，其中：</w:t>
      </w:r>
    </w:p>
    <w:p w14:paraId="2CDBAC9C">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公务车运行维护费</w:t>
      </w:r>
      <w:r>
        <w:rPr>
          <w:rFonts w:ascii="宋体" w:cs="宋体"/>
          <w:color w:val="333333"/>
          <w:sz w:val="28"/>
          <w:szCs w:val="28"/>
        </w:rPr>
        <w:t>0</w:t>
      </w:r>
      <w:r>
        <w:rPr>
          <w:rFonts w:hint="eastAsia" w:ascii="宋体" w:hAnsi="宋体" w:cs="宋体"/>
          <w:color w:val="333333"/>
          <w:sz w:val="28"/>
          <w:szCs w:val="28"/>
        </w:rPr>
        <w:t>元，年初预算数</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cs="宋体"/>
          <w:color w:val="333333"/>
          <w:sz w:val="28"/>
          <w:szCs w:val="28"/>
        </w:rPr>
        <w:t>0</w:t>
      </w:r>
      <w:r>
        <w:rPr>
          <w:rFonts w:hint="eastAsia" w:ascii="宋体" w:hAnsi="宋体" w:cs="宋体"/>
          <w:color w:val="333333"/>
          <w:sz w:val="28"/>
          <w:szCs w:val="28"/>
        </w:rPr>
        <w:t>元，减少幅度为</w:t>
      </w:r>
      <w:r>
        <w:rPr>
          <w:rFonts w:ascii="宋体" w:hAnsi="宋体" w:cs="宋体"/>
          <w:color w:val="333333"/>
          <w:sz w:val="28"/>
          <w:szCs w:val="28"/>
        </w:rPr>
        <w:t>0%</w:t>
      </w:r>
      <w:r>
        <w:rPr>
          <w:rFonts w:hint="eastAsia" w:ascii="宋体" w:hAnsi="宋体" w:cs="宋体"/>
          <w:color w:val="333333"/>
          <w:sz w:val="28"/>
          <w:szCs w:val="28"/>
        </w:rPr>
        <w:t>，</w:t>
      </w:r>
    </w:p>
    <w:p w14:paraId="10FC4EFB">
      <w:pPr>
        <w:shd w:val="clear" w:color="auto" w:fill="FFFFFF"/>
        <w:snapToGrid w:val="0"/>
        <w:spacing w:line="560" w:lineRule="atLeast"/>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14:paraId="6DFCD3A8">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公务接待费</w:t>
      </w:r>
      <w:r>
        <w:rPr>
          <w:rFonts w:ascii="宋体" w:cs="宋体"/>
          <w:color w:val="333333"/>
          <w:sz w:val="28"/>
          <w:szCs w:val="28"/>
        </w:rPr>
        <w:t>0</w:t>
      </w:r>
      <w:r>
        <w:rPr>
          <w:rFonts w:hint="eastAsia" w:ascii="宋体" w:hAnsi="宋体" w:cs="宋体"/>
          <w:color w:val="333333"/>
          <w:sz w:val="28"/>
          <w:szCs w:val="28"/>
        </w:rPr>
        <w:t>元，年初预算数</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元，决算数比预算数减少</w:t>
      </w:r>
      <w:r>
        <w:rPr>
          <w:rFonts w:ascii="宋体" w:hAnsi="宋体" w:cs="宋体"/>
          <w:color w:val="333333"/>
          <w:sz w:val="28"/>
          <w:szCs w:val="28"/>
        </w:rPr>
        <w:t>200</w:t>
      </w:r>
      <w:r>
        <w:rPr>
          <w:rFonts w:ascii="宋体" w:cs="宋体"/>
          <w:color w:val="333333"/>
          <w:sz w:val="28"/>
          <w:szCs w:val="28"/>
        </w:rPr>
        <w:t>0</w:t>
      </w:r>
      <w:r>
        <w:rPr>
          <w:rFonts w:hint="eastAsia" w:ascii="宋体" w:hAnsi="宋体" w:cs="宋体"/>
          <w:color w:val="333333"/>
          <w:sz w:val="28"/>
          <w:szCs w:val="28"/>
        </w:rPr>
        <w:t>元，减幅为</w:t>
      </w:r>
      <w:r>
        <w:rPr>
          <w:rFonts w:ascii="宋体" w:hAnsi="宋体" w:cs="宋体"/>
          <w:color w:val="333333"/>
          <w:sz w:val="28"/>
          <w:szCs w:val="28"/>
        </w:rPr>
        <w:t>100%</w:t>
      </w:r>
      <w:r>
        <w:rPr>
          <w:rFonts w:hint="eastAsia" w:ascii="宋体" w:hAnsi="宋体" w:cs="宋体"/>
          <w:color w:val="333333"/>
          <w:sz w:val="28"/>
          <w:szCs w:val="28"/>
        </w:rPr>
        <w:t>，接待批次为</w:t>
      </w:r>
      <w:r>
        <w:rPr>
          <w:rFonts w:ascii="宋体" w:cs="宋体"/>
          <w:color w:val="333333"/>
          <w:sz w:val="28"/>
          <w:szCs w:val="28"/>
        </w:rPr>
        <w:t>0</w:t>
      </w:r>
      <w:r>
        <w:rPr>
          <w:rFonts w:hint="eastAsia" w:ascii="宋体" w:hAnsi="宋体" w:cs="宋体"/>
          <w:color w:val="333333"/>
          <w:sz w:val="28"/>
          <w:szCs w:val="28"/>
        </w:rPr>
        <w:t>次，接待人数为</w:t>
      </w:r>
      <w:r>
        <w:rPr>
          <w:rFonts w:ascii="宋体" w:cs="宋体"/>
          <w:color w:val="333333"/>
          <w:sz w:val="28"/>
          <w:szCs w:val="28"/>
        </w:rPr>
        <w:t>0</w:t>
      </w:r>
      <w:r>
        <w:rPr>
          <w:rFonts w:hint="eastAsia" w:ascii="宋体" w:hAnsi="宋体" w:cs="宋体"/>
          <w:color w:val="333333"/>
          <w:sz w:val="28"/>
          <w:szCs w:val="28"/>
        </w:rPr>
        <w:t>人；</w:t>
      </w:r>
    </w:p>
    <w:p w14:paraId="155265CF">
      <w:pPr>
        <w:shd w:val="clear" w:color="auto" w:fill="FFFFFF"/>
        <w:snapToGrid w:val="0"/>
        <w:spacing w:line="560" w:lineRule="atLeast"/>
        <w:rPr>
          <w:rFonts w:ascii="宋体" w:cs="宋体"/>
          <w:color w:val="333333"/>
          <w:sz w:val="28"/>
          <w:szCs w:val="28"/>
        </w:rPr>
      </w:pPr>
      <w:r>
        <w:rPr>
          <w:rFonts w:hint="eastAsia" w:ascii="宋体" w:hAnsi="宋体" w:cs="宋体"/>
          <w:color w:val="333333"/>
          <w:sz w:val="28"/>
          <w:szCs w:val="28"/>
        </w:rPr>
        <w:t>因公出国（境）费</w:t>
      </w:r>
      <w:r>
        <w:rPr>
          <w:rFonts w:ascii="宋体" w:cs="宋体"/>
          <w:color w:val="333333"/>
          <w:sz w:val="28"/>
          <w:szCs w:val="28"/>
        </w:rPr>
        <w:t>0</w:t>
      </w:r>
      <w:r>
        <w:rPr>
          <w:rFonts w:hint="eastAsia" w:ascii="宋体" w:hAnsi="宋体" w:cs="宋体"/>
          <w:color w:val="333333"/>
          <w:sz w:val="28"/>
          <w:szCs w:val="28"/>
        </w:rPr>
        <w:t>元，预算数</w:t>
      </w:r>
      <w:r>
        <w:rPr>
          <w:rFonts w:ascii="宋体" w:cs="宋体"/>
          <w:color w:val="333333"/>
          <w:sz w:val="28"/>
          <w:szCs w:val="28"/>
        </w:rPr>
        <w:t>0</w:t>
      </w:r>
      <w:r>
        <w:rPr>
          <w:rFonts w:hint="eastAsia" w:ascii="宋体" w:hAnsi="宋体" w:cs="宋体"/>
          <w:color w:val="333333"/>
          <w:sz w:val="28"/>
          <w:szCs w:val="28"/>
        </w:rPr>
        <w:t>元，决算数比预算数增加</w:t>
      </w:r>
      <w:r>
        <w:rPr>
          <w:rFonts w:ascii="宋体" w:cs="宋体"/>
          <w:color w:val="333333"/>
          <w:sz w:val="28"/>
          <w:szCs w:val="28"/>
        </w:rPr>
        <w:t>0</w:t>
      </w:r>
      <w:r>
        <w:rPr>
          <w:rFonts w:hint="eastAsia" w:ascii="宋体" w:hAnsi="宋体" w:cs="宋体"/>
          <w:color w:val="333333"/>
          <w:sz w:val="28"/>
          <w:szCs w:val="28"/>
        </w:rPr>
        <w:t>元，增长幅度为</w:t>
      </w:r>
      <w:r>
        <w:rPr>
          <w:rFonts w:ascii="宋体" w:hAnsi="宋体" w:cs="宋体"/>
          <w:color w:val="333333"/>
          <w:sz w:val="28"/>
          <w:szCs w:val="28"/>
        </w:rPr>
        <w:t>0%</w:t>
      </w:r>
      <w:r>
        <w:rPr>
          <w:rFonts w:hint="eastAsia" w:ascii="宋体" w:hAnsi="宋体" w:cs="宋体"/>
          <w:color w:val="333333"/>
          <w:sz w:val="28"/>
          <w:szCs w:val="28"/>
        </w:rPr>
        <w:t>，本单位因公出国（境）团组数</w:t>
      </w:r>
      <w:r>
        <w:rPr>
          <w:rFonts w:ascii="宋体" w:cs="宋体"/>
          <w:color w:val="333333"/>
          <w:sz w:val="28"/>
          <w:szCs w:val="28"/>
        </w:rPr>
        <w:t>0</w:t>
      </w:r>
      <w:r>
        <w:rPr>
          <w:rFonts w:hint="eastAsia" w:ascii="宋体" w:hAnsi="宋体" w:cs="宋体"/>
          <w:color w:val="333333"/>
          <w:sz w:val="28"/>
          <w:szCs w:val="28"/>
        </w:rPr>
        <w:t>、人数</w:t>
      </w:r>
      <w:r>
        <w:rPr>
          <w:rFonts w:ascii="宋体" w:cs="宋体"/>
          <w:color w:val="333333"/>
          <w:sz w:val="28"/>
          <w:szCs w:val="28"/>
        </w:rPr>
        <w:t>0</w:t>
      </w:r>
      <w:r>
        <w:rPr>
          <w:rFonts w:hint="eastAsia" w:ascii="宋体" w:hAnsi="宋体" w:cs="宋体"/>
          <w:color w:val="333333"/>
          <w:sz w:val="28"/>
          <w:szCs w:val="28"/>
        </w:rPr>
        <w:t>。</w:t>
      </w:r>
    </w:p>
    <w:p w14:paraId="6CA79AAC">
      <w:pPr>
        <w:pStyle w:val="7"/>
        <w:widowControl/>
        <w:spacing w:before="76" w:beforeAutospacing="0" w:after="76" w:afterAutospacing="0" w:line="450" w:lineRule="atLeast"/>
        <w:ind w:firstLine="281" w:firstLineChars="10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（三）关于机关运行经费支出说明</w:t>
      </w:r>
    </w:p>
    <w:p w14:paraId="52B48541">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17.71</w:t>
      </w:r>
      <w:r>
        <w:rPr>
          <w:rFonts w:hint="eastAsia" w:ascii="宋体" w:hAnsi="宋体" w:cs="仿宋"/>
          <w:bCs/>
          <w:color w:val="000000"/>
          <w:sz w:val="28"/>
          <w:szCs w:val="28"/>
        </w:rPr>
        <w:t>万元，去年支出为</w:t>
      </w:r>
      <w:r>
        <w:rPr>
          <w:rFonts w:ascii="宋体" w:hAnsi="宋体" w:cs="仿宋"/>
          <w:bCs/>
          <w:color w:val="000000"/>
          <w:sz w:val="28"/>
          <w:szCs w:val="28"/>
        </w:rPr>
        <w:t>13.18</w:t>
      </w:r>
      <w:r>
        <w:rPr>
          <w:rFonts w:hint="eastAsia" w:ascii="宋体" w:hAnsi="宋体" w:cs="仿宋"/>
          <w:bCs/>
          <w:color w:val="000000"/>
          <w:sz w:val="28"/>
          <w:szCs w:val="28"/>
        </w:rPr>
        <w:t>万元，对比增加</w:t>
      </w:r>
      <w:r>
        <w:rPr>
          <w:rFonts w:ascii="宋体" w:hAnsi="宋体" w:cs="仿宋"/>
          <w:bCs/>
          <w:color w:val="000000"/>
          <w:sz w:val="28"/>
          <w:szCs w:val="28"/>
        </w:rPr>
        <w:t>4.53</w:t>
      </w:r>
      <w:r>
        <w:rPr>
          <w:rFonts w:hint="eastAsia" w:ascii="宋体" w:hAnsi="宋体" w:cs="仿宋"/>
          <w:bCs/>
          <w:color w:val="000000"/>
          <w:sz w:val="28"/>
          <w:szCs w:val="28"/>
        </w:rPr>
        <w:t>万元，</w:t>
      </w:r>
      <w:r>
        <w:rPr>
          <w:rFonts w:hint="eastAsia" w:ascii="宋体" w:hAnsi="宋体" w:cs="宋体"/>
          <w:color w:val="333333"/>
          <w:sz w:val="28"/>
          <w:szCs w:val="28"/>
        </w:rPr>
        <w:t>增幅</w:t>
      </w:r>
      <w:r>
        <w:rPr>
          <w:rFonts w:ascii="宋体" w:hAnsi="宋体" w:cs="宋体"/>
          <w:color w:val="333333"/>
          <w:sz w:val="28"/>
          <w:szCs w:val="28"/>
        </w:rPr>
        <w:t>34.38%</w:t>
      </w:r>
      <w:r>
        <w:rPr>
          <w:rFonts w:hint="eastAsia" w:ascii="宋体" w:hAnsi="宋体" w:cs="宋体"/>
          <w:color w:val="333333"/>
          <w:sz w:val="28"/>
          <w:szCs w:val="28"/>
        </w:rPr>
        <w:t>，</w:t>
      </w:r>
      <w:r>
        <w:rPr>
          <w:rFonts w:hint="eastAsia" w:ascii="宋体" w:hAnsi="宋体" w:cs="仿宋"/>
          <w:bCs/>
          <w:color w:val="000000"/>
          <w:sz w:val="28"/>
          <w:szCs w:val="28"/>
        </w:rPr>
        <w:t>主要原因为本年开展妇联活动支出增加所致。本部门机关运行经费本年年初预算数为</w:t>
      </w:r>
      <w:r>
        <w:rPr>
          <w:rFonts w:ascii="宋体" w:hAnsi="宋体" w:cs="仿宋"/>
          <w:bCs/>
          <w:color w:val="000000"/>
          <w:sz w:val="28"/>
          <w:szCs w:val="28"/>
        </w:rPr>
        <w:t>9.27</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决算数与年初预算数对比增加</w:t>
      </w:r>
      <w:r>
        <w:rPr>
          <w:rFonts w:ascii="宋体" w:hAnsi="宋体" w:cs="宋体"/>
          <w:color w:val="333333"/>
          <w:sz w:val="28"/>
          <w:szCs w:val="28"/>
        </w:rPr>
        <w:t>8.44</w:t>
      </w:r>
      <w:r>
        <w:rPr>
          <w:rFonts w:hint="eastAsia" w:ascii="宋体" w:hAnsi="宋体" w:cs="宋体"/>
          <w:color w:val="333333"/>
          <w:sz w:val="28"/>
          <w:szCs w:val="28"/>
        </w:rPr>
        <w:t>万元，增幅</w:t>
      </w:r>
      <w:r>
        <w:rPr>
          <w:rFonts w:ascii="宋体" w:hAnsi="宋体" w:cs="宋体"/>
          <w:color w:val="333333"/>
          <w:sz w:val="28"/>
          <w:szCs w:val="28"/>
        </w:rPr>
        <w:t>91.05%</w:t>
      </w:r>
      <w:r>
        <w:rPr>
          <w:rFonts w:hint="eastAsia" w:ascii="宋体" w:hAnsi="宋体" w:cs="宋体"/>
          <w:color w:val="333333"/>
          <w:sz w:val="28"/>
          <w:szCs w:val="28"/>
        </w:rPr>
        <w:t>，</w:t>
      </w:r>
      <w:r>
        <w:rPr>
          <w:rFonts w:hint="eastAsia" w:ascii="宋体" w:hAnsi="宋体" w:cs="仿宋_GB2312"/>
          <w:color w:val="000000"/>
          <w:sz w:val="28"/>
          <w:szCs w:val="28"/>
        </w:rPr>
        <w:t>其主要原因为本年度</w:t>
      </w:r>
      <w:r>
        <w:rPr>
          <w:rFonts w:hint="eastAsia" w:ascii="宋体" w:hAnsi="宋体" w:cs="仿宋"/>
          <w:bCs/>
          <w:color w:val="000000"/>
          <w:sz w:val="28"/>
          <w:szCs w:val="28"/>
        </w:rPr>
        <w:t>开展妇联活动支出增加所致。</w:t>
      </w:r>
    </w:p>
    <w:p w14:paraId="665556FE">
      <w:pPr>
        <w:shd w:val="clear" w:color="auto" w:fill="FFFFFF"/>
        <w:spacing w:line="360" w:lineRule="auto"/>
        <w:ind w:firstLine="560" w:firstLineChars="200"/>
        <w:rPr>
          <w:rFonts w:ascii="宋体" w:cs="宋体"/>
          <w:color w:val="333333"/>
          <w:sz w:val="28"/>
          <w:szCs w:val="28"/>
        </w:rPr>
      </w:pPr>
    </w:p>
    <w:p w14:paraId="381EB45B">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（四）关于政府采购支出说明</w:t>
      </w:r>
    </w:p>
    <w:p w14:paraId="787025E4">
      <w:pPr>
        <w:shd w:val="clear" w:color="auto" w:fill="FFFFFF"/>
        <w:spacing w:line="360" w:lineRule="auto"/>
        <w:ind w:firstLine="700" w:firstLineChars="250"/>
        <w:rPr>
          <w:rFonts w:ascii="宋体" w:cs="仿宋"/>
          <w:bCs/>
          <w:color w:val="000000"/>
          <w:sz w:val="28"/>
          <w:szCs w:val="28"/>
        </w:rPr>
      </w:pPr>
      <w:r>
        <w:rPr>
          <w:rFonts w:hint="eastAsia" w:ascii="宋体" w:hAnsi="宋体" w:cs="仿宋"/>
          <w:bCs/>
          <w:sz w:val="28"/>
          <w:szCs w:val="28"/>
        </w:rPr>
        <w:t>本单位2021年度政府采购支出总额</w:t>
      </w:r>
      <w:r>
        <w:rPr>
          <w:rFonts w:hint="eastAsia" w:ascii="宋体" w:hAnsi="宋体" w:cs="仿宋"/>
          <w:bCs/>
          <w:sz w:val="28"/>
          <w:szCs w:val="28"/>
          <w:lang w:val="en-US" w:eastAsia="zh-CN"/>
        </w:rPr>
        <w:t>1.77</w:t>
      </w:r>
      <w:r>
        <w:rPr>
          <w:rFonts w:hint="eastAsia" w:ascii="宋体" w:hAnsi="宋体" w:cs="仿宋"/>
          <w:bCs/>
          <w:sz w:val="28"/>
          <w:szCs w:val="28"/>
        </w:rPr>
        <w:t>万元，其中：政府采购货物支出</w:t>
      </w:r>
      <w:r>
        <w:rPr>
          <w:rFonts w:hint="eastAsia" w:ascii="宋体" w:hAnsi="宋体" w:cs="仿宋"/>
          <w:bCs/>
          <w:sz w:val="28"/>
          <w:szCs w:val="28"/>
          <w:lang w:val="en-US" w:eastAsia="zh-CN"/>
        </w:rPr>
        <w:t>1.77</w:t>
      </w:r>
      <w:r>
        <w:rPr>
          <w:rFonts w:hint="eastAsia" w:ascii="宋体" w:hAnsi="宋体" w:cs="仿宋"/>
          <w:bCs/>
          <w:sz w:val="28"/>
          <w:szCs w:val="28"/>
        </w:rPr>
        <w:t>万元、政府采购工程支出0万元、政府采购服务支出0万元。授予中小企业合同金额</w:t>
      </w:r>
      <w:r>
        <w:rPr>
          <w:rFonts w:hint="eastAsia" w:ascii="宋体" w:hAnsi="宋体" w:cs="仿宋"/>
          <w:bCs/>
          <w:sz w:val="28"/>
          <w:szCs w:val="28"/>
          <w:lang w:val="en-US" w:eastAsia="zh-CN"/>
        </w:rPr>
        <w:t>1.77</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0%，其中：授予小微企业合同金额</w:t>
      </w:r>
      <w:r>
        <w:rPr>
          <w:rFonts w:hint="eastAsia" w:ascii="宋体" w:hAnsi="宋体" w:cs="仿宋"/>
          <w:bCs/>
          <w:sz w:val="28"/>
          <w:szCs w:val="28"/>
          <w:lang w:val="en-US" w:eastAsia="zh-CN"/>
        </w:rPr>
        <w:t>1.77</w:t>
      </w:r>
      <w:r>
        <w:rPr>
          <w:rFonts w:hint="eastAsia" w:ascii="宋体" w:hAnsi="宋体" w:cs="仿宋"/>
          <w:bCs/>
          <w:sz w:val="28"/>
          <w:szCs w:val="28"/>
        </w:rPr>
        <w:t>万元，占政府采购支出总额的</w:t>
      </w:r>
      <w:r>
        <w:rPr>
          <w:rFonts w:hint="eastAsia" w:ascii="宋体" w:hAnsi="宋体" w:cs="仿宋"/>
          <w:bCs/>
          <w:sz w:val="28"/>
          <w:szCs w:val="28"/>
          <w:lang w:val="en-US" w:eastAsia="zh-CN"/>
        </w:rPr>
        <w:t>10</w:t>
      </w:r>
      <w:r>
        <w:rPr>
          <w:rFonts w:hint="eastAsia" w:ascii="宋体" w:hAnsi="宋体" w:cs="仿宋"/>
          <w:bCs/>
          <w:sz w:val="28"/>
          <w:szCs w:val="28"/>
        </w:rPr>
        <w:t>0%。</w:t>
      </w:r>
    </w:p>
    <w:p w14:paraId="42CB15C1">
      <w:pPr>
        <w:rPr>
          <w:rFonts w:ascii="宋体" w:cs="仿宋"/>
          <w:sz w:val="28"/>
          <w:szCs w:val="28"/>
        </w:rPr>
      </w:pPr>
    </w:p>
    <w:p w14:paraId="15B5A56A">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（五）关于国有资产占用情况说明</w:t>
      </w:r>
    </w:p>
    <w:p w14:paraId="7E0EC206">
      <w:pPr>
        <w:widowControl/>
        <w:shd w:val="clear" w:color="auto" w:fill="FFFFFF"/>
        <w:snapToGrid w:val="0"/>
        <w:spacing w:line="560" w:lineRule="atLeast"/>
        <w:ind w:firstLine="562"/>
        <w:jc w:val="left"/>
        <w:rPr>
          <w:rFonts w:ascii="宋体"/>
          <w:sz w:val="28"/>
          <w:szCs w:val="28"/>
        </w:rPr>
      </w:pPr>
      <w:r>
        <w:rPr>
          <w:rFonts w:hint="eastAsia" w:ascii="宋体" w:hAnsi="宋体"/>
          <w:sz w:val="28"/>
          <w:szCs w:val="28"/>
        </w:rPr>
        <w:t>截至</w:t>
      </w:r>
      <w:r>
        <w:rPr>
          <w:rFonts w:ascii="宋体" w:hAnsi="宋体"/>
          <w:sz w:val="28"/>
          <w:szCs w:val="28"/>
        </w:rPr>
        <w:t>2021</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rPr>
        <w:t>日，本部门共有车辆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sz w:val="28"/>
          <w:szCs w:val="28"/>
        </w:rPr>
        <w:t>辆、特种专业技术用车</w:t>
      </w:r>
      <w:r>
        <w:rPr>
          <w:rFonts w:ascii="宋体"/>
          <w:sz w:val="28"/>
          <w:szCs w:val="28"/>
        </w:rPr>
        <w:t>0</w:t>
      </w:r>
      <w:r>
        <w:rPr>
          <w:rFonts w:ascii="宋体" w:hAnsi="宋体" w:eastAsia="MS Gothic" w:cs="MS Gothic"/>
          <w:sz w:val="28"/>
          <w:szCs w:val="28"/>
        </w:rPr>
        <w:t>?</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ascii="宋体" w:hAnsi="宋体" w:eastAsia="MS Gothic" w:cs="MS Gothic"/>
          <w:sz w:val="28"/>
          <w:szCs w:val="28"/>
        </w:rPr>
        <w:t>?</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14:paraId="592A516C">
      <w:pPr>
        <w:pStyle w:val="16"/>
        <w:rPr>
          <w:rFonts w:ascii="宋体"/>
          <w:sz w:val="28"/>
          <w:szCs w:val="28"/>
        </w:rPr>
      </w:pPr>
    </w:p>
    <w:p w14:paraId="573CA75C">
      <w:pPr>
        <w:pStyle w:val="7"/>
        <w:widowControl/>
        <w:spacing w:before="76" w:beforeAutospacing="0" w:after="76" w:afterAutospacing="0" w:line="450" w:lineRule="atLeast"/>
        <w:ind w:firstLine="141" w:firstLineChars="50"/>
        <w:rPr>
          <w:rFonts w:ascii="宋体" w:cs="宋体"/>
          <w:b/>
          <w:bCs/>
          <w:color w:val="333333"/>
          <w:sz w:val="28"/>
          <w:szCs w:val="28"/>
          <w:shd w:val="clear" w:color="auto" w:fill="FFFFFF"/>
        </w:rPr>
      </w:pPr>
      <w:r>
        <w:rPr>
          <w:rFonts w:hint="eastAsia" w:ascii="宋体" w:hAnsi="宋体" w:cs="宋体"/>
          <w:b/>
          <w:bCs/>
          <w:color w:val="333333"/>
          <w:sz w:val="28"/>
          <w:szCs w:val="28"/>
          <w:shd w:val="clear" w:color="auto" w:fill="FFFFFF"/>
        </w:rPr>
        <w:t>（六）重点效绩评价结果等预算绩效情况说明</w:t>
      </w:r>
    </w:p>
    <w:p w14:paraId="12A2CB25">
      <w:pPr>
        <w:pStyle w:val="7"/>
        <w:widowControl/>
        <w:spacing w:before="76" w:beforeAutospacing="0" w:after="76" w:afterAutospacing="0" w:line="450" w:lineRule="atLeast"/>
        <w:ind w:firstLine="560" w:firstLineChars="200"/>
        <w:rPr>
          <w:rFonts w:ascii="宋体" w:cs="宋体"/>
          <w:color w:val="333333"/>
          <w:kern w:val="2"/>
          <w:sz w:val="28"/>
          <w:szCs w:val="28"/>
        </w:rPr>
      </w:pPr>
      <w:r>
        <w:rPr>
          <w:rFonts w:hint="eastAsia"/>
          <w:kern w:val="2"/>
          <w:sz w:val="28"/>
          <w:szCs w:val="28"/>
        </w:rPr>
        <w:t>本年度未开展预算绩效评价工作。</w:t>
      </w:r>
    </w:p>
    <w:p w14:paraId="41ECE26F">
      <w:pPr>
        <w:shd w:val="clear" w:color="auto" w:fill="FFFFFF"/>
        <w:tabs>
          <w:tab w:val="left" w:pos="580"/>
        </w:tabs>
        <w:snapToGrid w:val="0"/>
        <w:spacing w:line="560" w:lineRule="atLeast"/>
        <w:rPr>
          <w:rFonts w:ascii="宋体"/>
          <w:b/>
          <w:color w:val="FF6600"/>
          <w:spacing w:val="2"/>
          <w:sz w:val="28"/>
          <w:szCs w:val="28"/>
        </w:rPr>
      </w:pPr>
      <w:r>
        <w:rPr>
          <w:rFonts w:hint="eastAsia" w:ascii="宋体" w:hAnsi="宋体"/>
          <w:b/>
          <w:spacing w:val="2"/>
          <w:sz w:val="28"/>
          <w:szCs w:val="28"/>
        </w:rPr>
        <w:t>（七）决算收支增减变化情况</w:t>
      </w:r>
    </w:p>
    <w:p w14:paraId="739ED0AF">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1</w:t>
      </w:r>
      <w:r>
        <w:rPr>
          <w:rFonts w:hint="eastAsia" w:ascii="宋体" w:cs="宋体"/>
          <w:color w:val="333333"/>
          <w:sz w:val="28"/>
          <w:szCs w:val="28"/>
        </w:rPr>
        <w:t>、收入增减变化情况</w:t>
      </w:r>
    </w:p>
    <w:p w14:paraId="026A7CD1">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47.52</w:t>
      </w:r>
      <w:r>
        <w:rPr>
          <w:rFonts w:hint="eastAsia" w:ascii="宋体" w:hAnsi="宋体" w:cs="宋体"/>
          <w:color w:val="333333"/>
          <w:sz w:val="28"/>
          <w:szCs w:val="28"/>
        </w:rPr>
        <w:t>万元。比去年的</w:t>
      </w:r>
      <w:r>
        <w:rPr>
          <w:rFonts w:ascii="宋体" w:hAnsi="宋体" w:cs="宋体"/>
          <w:color w:val="333333"/>
          <w:sz w:val="28"/>
          <w:szCs w:val="28"/>
        </w:rPr>
        <w:t>32.92</w:t>
      </w:r>
      <w:r>
        <w:rPr>
          <w:rFonts w:hint="eastAsia" w:ascii="宋体" w:hAnsi="宋体" w:cs="宋体"/>
          <w:color w:val="333333"/>
          <w:sz w:val="28"/>
          <w:szCs w:val="28"/>
        </w:rPr>
        <w:t>万元增加</w:t>
      </w:r>
      <w:r>
        <w:rPr>
          <w:rFonts w:ascii="宋体" w:hAnsi="宋体" w:cs="宋体"/>
          <w:color w:val="333333"/>
          <w:sz w:val="28"/>
          <w:szCs w:val="28"/>
        </w:rPr>
        <w:t>14.60</w:t>
      </w:r>
      <w:r>
        <w:rPr>
          <w:rFonts w:hint="eastAsia" w:ascii="宋体" w:hAnsi="宋体" w:cs="宋体"/>
          <w:color w:val="333333"/>
          <w:sz w:val="28"/>
          <w:szCs w:val="28"/>
        </w:rPr>
        <w:t>万元，增幅</w:t>
      </w:r>
      <w:r>
        <w:rPr>
          <w:rFonts w:ascii="宋体" w:hAnsi="宋体" w:cs="宋体"/>
          <w:color w:val="333333"/>
          <w:sz w:val="28"/>
          <w:szCs w:val="28"/>
        </w:rPr>
        <w:t>44.33%</w:t>
      </w:r>
      <w:r>
        <w:rPr>
          <w:rFonts w:hint="eastAsia" w:ascii="宋体" w:hAnsi="宋体" w:cs="宋体"/>
          <w:color w:val="333333"/>
          <w:sz w:val="28"/>
          <w:szCs w:val="28"/>
        </w:rPr>
        <w:t>，其主要原因为本年开展妇联活动增加。</w:t>
      </w:r>
    </w:p>
    <w:p w14:paraId="4DC48661">
      <w:pPr>
        <w:shd w:val="clear" w:color="auto" w:fill="FFFFFF"/>
        <w:tabs>
          <w:tab w:val="left" w:pos="580"/>
        </w:tabs>
        <w:snapToGrid w:val="0"/>
        <w:spacing w:line="560" w:lineRule="atLeast"/>
        <w:ind w:firstLine="560" w:firstLineChars="200"/>
        <w:rPr>
          <w:rFonts w:ascii="宋体" w:cs="宋体"/>
          <w:color w:val="333333"/>
          <w:sz w:val="28"/>
          <w:szCs w:val="28"/>
        </w:rPr>
      </w:pPr>
      <w:r>
        <w:rPr>
          <w:rFonts w:ascii="宋体" w:cs="宋体"/>
          <w:color w:val="333333"/>
          <w:sz w:val="28"/>
          <w:szCs w:val="28"/>
        </w:rPr>
        <w:t>2</w:t>
      </w:r>
      <w:r>
        <w:rPr>
          <w:rFonts w:hint="eastAsia" w:ascii="宋体" w:cs="宋体"/>
          <w:color w:val="333333"/>
          <w:sz w:val="28"/>
          <w:szCs w:val="28"/>
        </w:rPr>
        <w:t>、支出增减变化情况</w:t>
      </w:r>
    </w:p>
    <w:p w14:paraId="4FC4DC25">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47.52</w:t>
      </w:r>
      <w:r>
        <w:rPr>
          <w:rFonts w:hint="eastAsia" w:ascii="宋体" w:hAnsi="宋体" w:cs="宋体"/>
          <w:color w:val="333333"/>
          <w:sz w:val="28"/>
          <w:szCs w:val="28"/>
        </w:rPr>
        <w:t>万元。比去年的</w:t>
      </w:r>
      <w:r>
        <w:rPr>
          <w:rFonts w:ascii="宋体" w:hAnsi="宋体" w:cs="宋体"/>
          <w:color w:val="333333"/>
          <w:sz w:val="28"/>
          <w:szCs w:val="28"/>
        </w:rPr>
        <w:t>32.92</w:t>
      </w:r>
      <w:r>
        <w:rPr>
          <w:rFonts w:hint="eastAsia" w:ascii="宋体" w:hAnsi="宋体" w:cs="宋体"/>
          <w:color w:val="333333"/>
          <w:sz w:val="28"/>
          <w:szCs w:val="28"/>
        </w:rPr>
        <w:t>万元增加</w:t>
      </w:r>
      <w:r>
        <w:rPr>
          <w:rFonts w:ascii="宋体" w:hAnsi="宋体" w:cs="宋体"/>
          <w:color w:val="333333"/>
          <w:sz w:val="28"/>
          <w:szCs w:val="28"/>
        </w:rPr>
        <w:t>14.60</w:t>
      </w:r>
      <w:r>
        <w:rPr>
          <w:rFonts w:hint="eastAsia" w:ascii="宋体" w:hAnsi="宋体" w:cs="宋体"/>
          <w:color w:val="333333"/>
          <w:sz w:val="28"/>
          <w:szCs w:val="28"/>
        </w:rPr>
        <w:t>万元，增幅</w:t>
      </w:r>
      <w:r>
        <w:rPr>
          <w:rFonts w:ascii="宋体" w:hAnsi="宋体" w:cs="宋体"/>
          <w:color w:val="333333"/>
          <w:sz w:val="28"/>
          <w:szCs w:val="28"/>
        </w:rPr>
        <w:t>44.33%</w:t>
      </w:r>
      <w:r>
        <w:rPr>
          <w:rFonts w:hint="eastAsia" w:ascii="宋体" w:hAnsi="宋体" w:cs="宋体"/>
          <w:color w:val="333333"/>
          <w:sz w:val="28"/>
          <w:szCs w:val="28"/>
        </w:rPr>
        <w:t>，其主要原因为本年开展妇联活动增加。其中一般公共预算财政拨款支出</w:t>
      </w:r>
      <w:r>
        <w:rPr>
          <w:rFonts w:ascii="宋体" w:hAnsi="宋体" w:cs="宋体"/>
          <w:color w:val="333333"/>
          <w:sz w:val="28"/>
          <w:szCs w:val="28"/>
        </w:rPr>
        <w:t>44.47</w:t>
      </w:r>
      <w:r>
        <w:rPr>
          <w:rFonts w:hint="eastAsia" w:ascii="宋体" w:hAnsi="宋体" w:cs="宋体"/>
          <w:color w:val="333333"/>
          <w:sz w:val="28"/>
          <w:szCs w:val="28"/>
        </w:rPr>
        <w:t>万元，比去年的</w:t>
      </w:r>
      <w:r>
        <w:rPr>
          <w:rFonts w:ascii="宋体" w:hAnsi="宋体" w:cs="宋体"/>
          <w:color w:val="333333"/>
          <w:sz w:val="28"/>
          <w:szCs w:val="28"/>
        </w:rPr>
        <w:t>30.62</w:t>
      </w:r>
      <w:r>
        <w:rPr>
          <w:rFonts w:hint="eastAsia" w:ascii="宋体" w:hAnsi="宋体" w:cs="宋体"/>
          <w:color w:val="333333"/>
          <w:sz w:val="28"/>
          <w:szCs w:val="28"/>
        </w:rPr>
        <w:t>万元增加</w:t>
      </w:r>
      <w:r>
        <w:rPr>
          <w:rFonts w:ascii="宋体" w:hAnsi="宋体" w:cs="宋体"/>
          <w:color w:val="333333"/>
          <w:sz w:val="28"/>
          <w:szCs w:val="28"/>
        </w:rPr>
        <w:t>13.85</w:t>
      </w:r>
      <w:r>
        <w:rPr>
          <w:rFonts w:hint="eastAsia" w:ascii="宋体" w:hAnsi="宋体" w:cs="宋体"/>
          <w:color w:val="333333"/>
          <w:sz w:val="28"/>
          <w:szCs w:val="28"/>
        </w:rPr>
        <w:t>万元，增幅</w:t>
      </w:r>
      <w:r>
        <w:rPr>
          <w:rFonts w:ascii="宋体" w:hAnsi="宋体" w:cs="宋体"/>
          <w:color w:val="333333"/>
          <w:sz w:val="28"/>
          <w:szCs w:val="28"/>
        </w:rPr>
        <w:t>45.23%</w:t>
      </w:r>
      <w:r>
        <w:rPr>
          <w:rFonts w:hint="eastAsia" w:ascii="宋体" w:hAnsi="宋体" w:cs="宋体"/>
          <w:color w:val="333333"/>
          <w:sz w:val="28"/>
          <w:szCs w:val="28"/>
        </w:rPr>
        <w:t>，其主要原因为本年开展妇联活动增加</w:t>
      </w:r>
      <w:r>
        <w:rPr>
          <w:rFonts w:hint="eastAsia" w:ascii="宋体" w:hAnsi="宋体" w:cs="仿宋_GB2312"/>
          <w:color w:val="000000"/>
          <w:sz w:val="28"/>
          <w:szCs w:val="28"/>
        </w:rPr>
        <w:t>所致，</w:t>
      </w:r>
      <w:r>
        <w:rPr>
          <w:rFonts w:hint="eastAsia" w:ascii="宋体" w:hAnsi="宋体" w:cs="宋体"/>
          <w:color w:val="333333"/>
          <w:sz w:val="28"/>
          <w:szCs w:val="28"/>
        </w:rPr>
        <w:t>与年初预算数</w:t>
      </w:r>
      <w:r>
        <w:rPr>
          <w:rFonts w:ascii="宋体" w:hAnsi="宋体" w:cs="宋体"/>
          <w:color w:val="333333"/>
          <w:sz w:val="28"/>
          <w:szCs w:val="28"/>
        </w:rPr>
        <w:t>26.56</w:t>
      </w:r>
      <w:r>
        <w:rPr>
          <w:rFonts w:hint="eastAsia" w:ascii="宋体" w:hAnsi="宋体" w:cs="宋体"/>
          <w:color w:val="333333"/>
          <w:sz w:val="28"/>
          <w:szCs w:val="28"/>
        </w:rPr>
        <w:t>万元对比增加</w:t>
      </w:r>
      <w:r>
        <w:rPr>
          <w:rFonts w:ascii="宋体" w:hAnsi="宋体" w:cs="宋体"/>
          <w:color w:val="333333"/>
          <w:sz w:val="28"/>
          <w:szCs w:val="28"/>
        </w:rPr>
        <w:t>17.91</w:t>
      </w:r>
      <w:r>
        <w:rPr>
          <w:rFonts w:hint="eastAsia" w:ascii="宋体" w:hAnsi="宋体" w:cs="宋体"/>
          <w:color w:val="333333"/>
          <w:sz w:val="28"/>
          <w:szCs w:val="28"/>
        </w:rPr>
        <w:t>万元，增幅</w:t>
      </w:r>
      <w:r>
        <w:rPr>
          <w:rFonts w:ascii="宋体" w:hAnsi="宋体" w:cs="宋体"/>
          <w:color w:val="333333"/>
          <w:sz w:val="28"/>
          <w:szCs w:val="28"/>
        </w:rPr>
        <w:t>67.43%</w:t>
      </w:r>
      <w:r>
        <w:rPr>
          <w:rFonts w:hint="eastAsia" w:ascii="宋体" w:hAnsi="宋体" w:cs="宋体"/>
          <w:color w:val="333333"/>
          <w:sz w:val="28"/>
          <w:szCs w:val="28"/>
        </w:rPr>
        <w:t>，其主要原因为</w:t>
      </w:r>
      <w:r>
        <w:rPr>
          <w:rFonts w:hint="eastAsia" w:ascii="宋体" w:hAnsi="宋体" w:cs="仿宋_GB2312"/>
          <w:color w:val="000000"/>
          <w:sz w:val="28"/>
          <w:szCs w:val="28"/>
        </w:rPr>
        <w:t>本年</w:t>
      </w:r>
      <w:r>
        <w:rPr>
          <w:rFonts w:hint="eastAsia" w:ascii="宋体" w:hAnsi="宋体" w:cs="宋体"/>
          <w:color w:val="333333"/>
          <w:sz w:val="28"/>
          <w:szCs w:val="28"/>
        </w:rPr>
        <w:t>开展妇联活动增加</w:t>
      </w:r>
      <w:r>
        <w:rPr>
          <w:rFonts w:hint="eastAsia" w:ascii="宋体" w:hAnsi="宋体" w:cs="仿宋_GB2312"/>
          <w:color w:val="000000"/>
          <w:sz w:val="28"/>
          <w:szCs w:val="28"/>
        </w:rPr>
        <w:t>所致，</w:t>
      </w:r>
    </w:p>
    <w:p w14:paraId="77959280">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ascii="微软雅黑" w:hAnsi="微软雅黑" w:eastAsia="微软雅黑" w:cs="微软雅黑"/>
          <w:color w:val="333333"/>
          <w:shd w:val="clear" w:color="auto" w:fill="FFFFFF"/>
        </w:rPr>
        <w:br w:type="page"/>
      </w:r>
      <w:r>
        <w:rPr>
          <w:rStyle w:val="10"/>
          <w:rFonts w:hint="eastAsia" w:ascii="微软雅黑" w:hAnsi="微软雅黑" w:eastAsia="微软雅黑" w:cs="微软雅黑"/>
          <w:color w:val="333333"/>
          <w:shd w:val="clear" w:color="auto" w:fill="FFFFFF"/>
        </w:rPr>
        <w:t>第四部分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名词解释</w:t>
      </w:r>
    </w:p>
    <w:p w14:paraId="40228A09">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一、财政补助收入：指县级财政当年拨付的资金。</w:t>
      </w:r>
    </w:p>
    <w:p w14:paraId="1CF20C74">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二、其他收入：指除“财政拨款收入”、“上级补助收入”、“事业收入”、“经营收入”等以外的收入。主要是存款利息收入等。</w:t>
      </w:r>
    </w:p>
    <w:p w14:paraId="28E44A3A">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三、年初结转和结余：指以前年度尚未完成、结转到本年按有关规定继续使用的资金。</w:t>
      </w:r>
    </w:p>
    <w:p w14:paraId="218A2028">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四、一般公共服务（类）行政运行（项）：指县行政单位及参照公务员管理事业单位用于保障机构正常运行、开展日常工作的基本支出。</w:t>
      </w:r>
    </w:p>
    <w:p w14:paraId="4785D80F">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3C41BD6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六、一般公共服务（类）机关服务（项）：指县黄石港区妇联服务中心为机关提供办公楼日常维修、维护等后勤保障服务的支出。</w:t>
      </w:r>
    </w:p>
    <w:p w14:paraId="7EEF6392">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七、一般公共服务（类）其他一般公共服务支出（款）其他一般公共服务支出（项）：指黄石港区妇联用于其他一般公共服务方面的支出。</w:t>
      </w:r>
    </w:p>
    <w:p w14:paraId="3426080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八、教育（类）普通教育（款）高等教育（项）：指黄石港区妇联支持地方高校的重点发展和特色办学，组织专家对省属院校申报的建设规划和项目预算进行评审等相关工作的支出。</w:t>
      </w:r>
    </w:p>
    <w:p w14:paraId="56307208">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九、社会保障和就业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行政事业单位离退休（款）归口管理的行政单位离退休（项）：指黄石港区妇联用于离退休人员的支出、退休人员支出，以及提供管理服务工作的离退休干部处的支出。</w:t>
      </w:r>
    </w:p>
    <w:p w14:paraId="514E6DAD">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十、社会保障和就业</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类</w:t>
      </w:r>
      <w:r>
        <w:rPr>
          <w:rFonts w:ascii="宋体" w:hAnsi="宋体" w:cs="宋体"/>
          <w:color w:val="333333"/>
          <w:sz w:val="28"/>
          <w:szCs w:val="28"/>
          <w:shd w:val="clear" w:color="auto" w:fill="FFFFFF"/>
        </w:rPr>
        <w:t>)</w:t>
      </w:r>
      <w:r>
        <w:rPr>
          <w:rFonts w:hint="eastAsia" w:ascii="宋体" w:hAnsi="宋体" w:cs="宋体"/>
          <w:color w:val="333333"/>
          <w:sz w:val="28"/>
          <w:szCs w:val="28"/>
          <w:shd w:val="clear" w:color="auto" w:fill="FFFFFF"/>
        </w:rPr>
        <w:t>行政事业单位离退休（款）其他行政事业单位离退休支出（项）：指黄石港区妇联用于离退休方面的其他支出。</w:t>
      </w:r>
    </w:p>
    <w:p w14:paraId="64ABD3D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十一、医疗卫生与计划生育（类）医疗保障（款）行政单位医疗（项）：指黄石港区妇联用于机关干部职工及离退休人员医疗方面的支出。</w:t>
      </w:r>
    </w:p>
    <w:p w14:paraId="7B3F1EF9">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00ABAFD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十三、年末结转和结余：指本年度或以前年度预算安排、因客观条件发生变化无法按原计划实施，需要延迟到以后年度按有关规定继续使用的资金。</w:t>
      </w:r>
    </w:p>
    <w:p w14:paraId="40331435">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1BF468AB">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十五、项目支出：指在基本支出之外为完成特定行政任务和事业发展目标所发生的支出。</w:t>
      </w:r>
    </w:p>
    <w:p w14:paraId="7B42290A">
      <w:pPr>
        <w:pStyle w:val="7"/>
        <w:widowControl/>
        <w:spacing w:before="76" w:beforeAutospacing="0" w:after="76" w:afterAutospacing="0" w:line="450" w:lineRule="atLeast"/>
        <w:ind w:firstLine="420"/>
        <w:rPr>
          <w:rFonts w:ascii="宋体" w:cs="宋体"/>
          <w:color w:val="333333"/>
          <w:sz w:val="28"/>
          <w:szCs w:val="28"/>
        </w:rPr>
      </w:pPr>
      <w:r>
        <w:rPr>
          <w:rFonts w:hint="eastAsia" w:ascii="宋体" w:hAnsi="宋体" w:cs="宋体"/>
          <w:color w:val="333333"/>
          <w:sz w:val="28"/>
          <w:szCs w:val="28"/>
          <w:shd w:val="clear" w:color="auto" w:fill="FFFFFF"/>
        </w:rPr>
        <w:t>十六、“三公”经费：是指用财政拨款安排的因公出国（境）费、公务用车购置及运行维护费、公务接待费。</w:t>
      </w:r>
    </w:p>
    <w:p w14:paraId="1E585D78">
      <w:pPr>
        <w:rPr>
          <w:rFonts w:ascii="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E89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3F2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D5C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C8C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4361">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675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62A9"/>
    <w:multiLevelType w:val="singleLevel"/>
    <w:tmpl w:val="8B8E62A9"/>
    <w:lvl w:ilvl="0" w:tentative="0">
      <w:start w:val="2"/>
      <w:numFmt w:val="chineseCounting"/>
      <w:suff w:val="space"/>
      <w:lvlText w:val="第%1部分"/>
      <w:lvlJc w:val="left"/>
      <w:rPr>
        <w:rFonts w:hint="eastAsia" w:cs="Times New Roman"/>
      </w:rPr>
    </w:lvl>
  </w:abstractNum>
  <w:abstractNum w:abstractNumId="1">
    <w:nsid w:val="51CEAA6F"/>
    <w:multiLevelType w:val="singleLevel"/>
    <w:tmpl w:val="51CEAA6F"/>
    <w:lvl w:ilvl="0" w:tentative="0">
      <w:start w:val="2"/>
      <w:numFmt w:val="chineseCounting"/>
      <w:suff w:val="nothing"/>
      <w:lvlText w:val="（%1）"/>
      <w:lvlJc w:val="left"/>
      <w:pPr>
        <w:ind w:left="28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170DD2"/>
    <w:rsid w:val="0001244E"/>
    <w:rsid w:val="00022768"/>
    <w:rsid w:val="000331AD"/>
    <w:rsid w:val="00040338"/>
    <w:rsid w:val="000802A7"/>
    <w:rsid w:val="00080D3B"/>
    <w:rsid w:val="0008345A"/>
    <w:rsid w:val="00097917"/>
    <w:rsid w:val="000B1200"/>
    <w:rsid w:val="000B23E6"/>
    <w:rsid w:val="000B65A1"/>
    <w:rsid w:val="000C4D80"/>
    <w:rsid w:val="000E1EE2"/>
    <w:rsid w:val="00123503"/>
    <w:rsid w:val="00131190"/>
    <w:rsid w:val="001334CB"/>
    <w:rsid w:val="00170DD2"/>
    <w:rsid w:val="00196C10"/>
    <w:rsid w:val="00197A58"/>
    <w:rsid w:val="001B1AED"/>
    <w:rsid w:val="001C7B07"/>
    <w:rsid w:val="001D0CB8"/>
    <w:rsid w:val="001E5946"/>
    <w:rsid w:val="001F2E3C"/>
    <w:rsid w:val="00203A55"/>
    <w:rsid w:val="00214019"/>
    <w:rsid w:val="00231659"/>
    <w:rsid w:val="0023530E"/>
    <w:rsid w:val="00253AE8"/>
    <w:rsid w:val="002540A7"/>
    <w:rsid w:val="00260CAD"/>
    <w:rsid w:val="0027033C"/>
    <w:rsid w:val="00271F32"/>
    <w:rsid w:val="00285166"/>
    <w:rsid w:val="002A7115"/>
    <w:rsid w:val="002C02B4"/>
    <w:rsid w:val="002F7A4A"/>
    <w:rsid w:val="00317DE9"/>
    <w:rsid w:val="00317EB5"/>
    <w:rsid w:val="003755B4"/>
    <w:rsid w:val="0039285D"/>
    <w:rsid w:val="003A7B3B"/>
    <w:rsid w:val="003C766E"/>
    <w:rsid w:val="003F728D"/>
    <w:rsid w:val="004161D7"/>
    <w:rsid w:val="00490031"/>
    <w:rsid w:val="004D4FD1"/>
    <w:rsid w:val="004E4578"/>
    <w:rsid w:val="004F2605"/>
    <w:rsid w:val="0051733C"/>
    <w:rsid w:val="00541AF3"/>
    <w:rsid w:val="00566822"/>
    <w:rsid w:val="0057221E"/>
    <w:rsid w:val="00583A54"/>
    <w:rsid w:val="00583C68"/>
    <w:rsid w:val="00583E92"/>
    <w:rsid w:val="0059077F"/>
    <w:rsid w:val="005C21A9"/>
    <w:rsid w:val="005C721F"/>
    <w:rsid w:val="0061418D"/>
    <w:rsid w:val="00624743"/>
    <w:rsid w:val="00651CCD"/>
    <w:rsid w:val="006573A1"/>
    <w:rsid w:val="00681E92"/>
    <w:rsid w:val="00684522"/>
    <w:rsid w:val="006B05F9"/>
    <w:rsid w:val="006D3EAB"/>
    <w:rsid w:val="006D6E7A"/>
    <w:rsid w:val="006E04EF"/>
    <w:rsid w:val="006E4A61"/>
    <w:rsid w:val="006F1C98"/>
    <w:rsid w:val="006F1D94"/>
    <w:rsid w:val="00703532"/>
    <w:rsid w:val="00715FAE"/>
    <w:rsid w:val="00721EB6"/>
    <w:rsid w:val="007431E7"/>
    <w:rsid w:val="00746A94"/>
    <w:rsid w:val="007817E9"/>
    <w:rsid w:val="007C0EAF"/>
    <w:rsid w:val="007F2B2B"/>
    <w:rsid w:val="0081133D"/>
    <w:rsid w:val="00826C35"/>
    <w:rsid w:val="0083596F"/>
    <w:rsid w:val="008658D2"/>
    <w:rsid w:val="00881634"/>
    <w:rsid w:val="00895D19"/>
    <w:rsid w:val="00897E70"/>
    <w:rsid w:val="008B57F3"/>
    <w:rsid w:val="008C13D9"/>
    <w:rsid w:val="008F2E79"/>
    <w:rsid w:val="00914803"/>
    <w:rsid w:val="0097113B"/>
    <w:rsid w:val="009731EC"/>
    <w:rsid w:val="0097476B"/>
    <w:rsid w:val="009A3373"/>
    <w:rsid w:val="009A60FF"/>
    <w:rsid w:val="00A03566"/>
    <w:rsid w:val="00A07FB6"/>
    <w:rsid w:val="00A10888"/>
    <w:rsid w:val="00A10B3C"/>
    <w:rsid w:val="00A301CB"/>
    <w:rsid w:val="00A73EB1"/>
    <w:rsid w:val="00A75C64"/>
    <w:rsid w:val="00A76965"/>
    <w:rsid w:val="00A770A0"/>
    <w:rsid w:val="00AE0C19"/>
    <w:rsid w:val="00B3672D"/>
    <w:rsid w:val="00B47B1D"/>
    <w:rsid w:val="00B5270A"/>
    <w:rsid w:val="00B56395"/>
    <w:rsid w:val="00B60F83"/>
    <w:rsid w:val="00B74B2C"/>
    <w:rsid w:val="00BA751A"/>
    <w:rsid w:val="00BB445A"/>
    <w:rsid w:val="00BC7669"/>
    <w:rsid w:val="00BE5B9B"/>
    <w:rsid w:val="00C05178"/>
    <w:rsid w:val="00C46D24"/>
    <w:rsid w:val="00C516FF"/>
    <w:rsid w:val="00C60612"/>
    <w:rsid w:val="00CA1FCA"/>
    <w:rsid w:val="00CC1016"/>
    <w:rsid w:val="00CD75B4"/>
    <w:rsid w:val="00CE5C5C"/>
    <w:rsid w:val="00CE5C98"/>
    <w:rsid w:val="00D522A3"/>
    <w:rsid w:val="00D65416"/>
    <w:rsid w:val="00D930CC"/>
    <w:rsid w:val="00DD145B"/>
    <w:rsid w:val="00E234DD"/>
    <w:rsid w:val="00E55460"/>
    <w:rsid w:val="00E57950"/>
    <w:rsid w:val="00E602A3"/>
    <w:rsid w:val="00E60EAC"/>
    <w:rsid w:val="00E83812"/>
    <w:rsid w:val="00E87295"/>
    <w:rsid w:val="00EA6A69"/>
    <w:rsid w:val="00EB4089"/>
    <w:rsid w:val="00EC4A96"/>
    <w:rsid w:val="00EC6FC2"/>
    <w:rsid w:val="00ED32C3"/>
    <w:rsid w:val="00EE6F80"/>
    <w:rsid w:val="00EF7E83"/>
    <w:rsid w:val="00F10457"/>
    <w:rsid w:val="00F17605"/>
    <w:rsid w:val="00F225F2"/>
    <w:rsid w:val="00F7500A"/>
    <w:rsid w:val="00F9633F"/>
    <w:rsid w:val="00FA3DF1"/>
    <w:rsid w:val="00FB722C"/>
    <w:rsid w:val="00FE1B99"/>
    <w:rsid w:val="04B658F9"/>
    <w:rsid w:val="0664587B"/>
    <w:rsid w:val="090329AF"/>
    <w:rsid w:val="09FF39B4"/>
    <w:rsid w:val="0E8160BF"/>
    <w:rsid w:val="10157CA5"/>
    <w:rsid w:val="10253966"/>
    <w:rsid w:val="11411182"/>
    <w:rsid w:val="13FA6E94"/>
    <w:rsid w:val="160B7BD1"/>
    <w:rsid w:val="187E6C04"/>
    <w:rsid w:val="19390A67"/>
    <w:rsid w:val="1B053A85"/>
    <w:rsid w:val="1DA72E01"/>
    <w:rsid w:val="219E41B4"/>
    <w:rsid w:val="255E033E"/>
    <w:rsid w:val="2571197D"/>
    <w:rsid w:val="27390172"/>
    <w:rsid w:val="2CCE2491"/>
    <w:rsid w:val="2DE74E08"/>
    <w:rsid w:val="2F081AB6"/>
    <w:rsid w:val="310A5641"/>
    <w:rsid w:val="3E087044"/>
    <w:rsid w:val="401A2F36"/>
    <w:rsid w:val="4511756A"/>
    <w:rsid w:val="457D21A1"/>
    <w:rsid w:val="45EF63DD"/>
    <w:rsid w:val="507C1CF5"/>
    <w:rsid w:val="51CB73F0"/>
    <w:rsid w:val="51CE028F"/>
    <w:rsid w:val="55736190"/>
    <w:rsid w:val="57193076"/>
    <w:rsid w:val="61773BFF"/>
    <w:rsid w:val="621B3808"/>
    <w:rsid w:val="65496BD3"/>
    <w:rsid w:val="67E4782B"/>
    <w:rsid w:val="735F6AA0"/>
    <w:rsid w:val="746766E2"/>
    <w:rsid w:val="74EA7B66"/>
    <w:rsid w:val="78186405"/>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spacing w:line="500" w:lineRule="exact"/>
      <w:ind w:firstLine="640" w:firstLineChars="200"/>
    </w:pPr>
    <w:rPr>
      <w:rFonts w:ascii="宋体"/>
      <w:sz w:val="32"/>
    </w:rPr>
  </w:style>
  <w:style w:type="paragraph" w:styleId="4">
    <w:name w:val="Plain Text"/>
    <w:basedOn w:val="1"/>
    <w:link w:val="13"/>
    <w:qFormat/>
    <w:uiPriority w:val="99"/>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
    <w:name w:val="Normal (Web)2"/>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19</Pages>
  <Words>3737</Words>
  <Characters>4120</Characters>
  <Lines>0</Lines>
  <Paragraphs>0</Paragraphs>
  <TotalTime>114</TotalTime>
  <ScaleCrop>false</ScaleCrop>
  <LinksUpToDate>false</LinksUpToDate>
  <CharactersWithSpaces>4133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2025-02-11T01:49:44Z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510B9C58D90D4463938DD71595EDE737_13</vt:lpwstr>
  </property>
  <property fmtid="{D5CDD505-2E9C-101B-9397-08002B2CF9AE}" pid="4" name="KSOTemplateDocerSaveRecord">
    <vt:lpwstr>eyJoZGlkIjoiMmEwODY1NTVkYWU2MmY3ZjA1NmUwM2E0YmM4MzhhNTAiLCJ1c2VySWQiOiIyNjYwNzM2MzQifQ==</vt:lpwstr>
  </property>
</Properties>
</file>