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bdr w:val="none" w:color="auto" w:sz="0" w:space="0"/>
          <w:shd w:val="clear" w:fill="FFFFFF"/>
          <w:lang w:eastAsia="zh-CN"/>
        </w:rPr>
        <w:t>花湖街办</w:t>
      </w:r>
      <w:r>
        <w:rPr>
          <w:rFonts w:hint="eastAsia" w:ascii="微软雅黑" w:hAnsi="微软雅黑" w:eastAsia="微软雅黑" w:cs="微软雅黑"/>
          <w:b/>
          <w:i w:val="0"/>
          <w:caps w:val="0"/>
          <w:color w:val="BC1010"/>
          <w:spacing w:val="0"/>
          <w:sz w:val="40"/>
          <w:szCs w:val="40"/>
          <w:bdr w:val="none" w:color="auto" w:sz="0" w:space="0"/>
          <w:shd w:val="clear" w:fill="FFFFFF"/>
        </w:rPr>
        <w:t>2017年决算公开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黄石港区花湖街办</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第一部分:部门基本情况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一、部门主要职责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第二部分: 部门2017年部门决算表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一、收入支出决算总表（表1）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二、收入决算表（表2）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三、支出决算表（表3）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四、财政拨款收入支出决算总表（表4）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五、一般公共预算财政拨款支出决算表（表5）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六、一般公共预算财政拨款基本支出决算表（表6）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七、一般公共预算财政拨款“三公”经费支出决算表（表7）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八、政府性基金预算财政拨款收入支出决算表（8）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第三部分：部门2017年部门决算情况说明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第四部分：名词解释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第一部分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部门概况</w:t>
      </w:r>
    </w:p>
    <w:p>
      <w:pPr>
        <w:spacing w:line="540" w:lineRule="exact"/>
        <w:ind w:firstLine="568" w:firstLineChars="200"/>
        <w:rPr>
          <w:rFonts w:hint="eastAsia" w:ascii="仿宋" w:hAnsi="仿宋" w:eastAsia="仿宋"/>
          <w:color w:val="000000"/>
          <w:spacing w:val="2"/>
          <w:sz w:val="28"/>
          <w:szCs w:val="32"/>
        </w:rPr>
      </w:pPr>
      <w:r>
        <w:rPr>
          <w:rFonts w:hint="eastAsia" w:ascii="仿宋" w:hAnsi="仿宋" w:eastAsia="仿宋"/>
          <w:color w:val="000000"/>
          <w:spacing w:val="2"/>
          <w:sz w:val="28"/>
          <w:szCs w:val="32"/>
        </w:rPr>
        <w:t>1.</w:t>
      </w:r>
      <w:r>
        <w:rPr>
          <w:rFonts w:hint="eastAsia" w:ascii="仿宋" w:hAnsi="仿宋" w:eastAsia="仿宋"/>
          <w:b/>
          <w:color w:val="000000"/>
          <w:spacing w:val="2"/>
          <w:sz w:val="28"/>
          <w:szCs w:val="32"/>
        </w:rPr>
        <w:t>主要职能</w:t>
      </w:r>
      <w:r>
        <w:rPr>
          <w:rFonts w:hint="eastAsia" w:ascii="仿宋" w:hAnsi="仿宋" w:eastAsia="仿宋"/>
          <w:color w:val="000000"/>
          <w:spacing w:val="2"/>
          <w:sz w:val="28"/>
          <w:szCs w:val="32"/>
        </w:rPr>
        <w:t>:</w:t>
      </w:r>
      <w:r>
        <w:rPr>
          <w:rFonts w:ascii="仿宋" w:hAnsi="仿宋" w:eastAsia="仿宋"/>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p>
    <w:p>
      <w:pPr>
        <w:ind w:firstLine="560"/>
        <w:rPr>
          <w:rFonts w:hint="eastAsia" w:ascii="仿宋" w:hAnsi="仿宋" w:eastAsia="仿宋"/>
          <w:sz w:val="28"/>
          <w:szCs w:val="28"/>
        </w:rPr>
      </w:pPr>
      <w:r>
        <w:rPr>
          <w:rFonts w:hint="eastAsia" w:ascii="仿宋" w:hAnsi="仿宋" w:eastAsia="仿宋"/>
          <w:b/>
          <w:sz w:val="28"/>
          <w:szCs w:val="28"/>
        </w:rPr>
        <w:t>2</w:t>
      </w:r>
      <w:r>
        <w:rPr>
          <w:rFonts w:hint="eastAsia" w:ascii="仿宋" w:hAnsi="仿宋" w:eastAsia="仿宋"/>
          <w:sz w:val="28"/>
          <w:szCs w:val="28"/>
        </w:rPr>
        <w:t>.</w:t>
      </w:r>
      <w:r>
        <w:rPr>
          <w:rFonts w:hint="eastAsia" w:ascii="仿宋" w:hAnsi="仿宋" w:eastAsia="仿宋"/>
          <w:b/>
          <w:sz w:val="28"/>
          <w:szCs w:val="28"/>
        </w:rPr>
        <w:t>机构情况</w:t>
      </w:r>
      <w:r>
        <w:rPr>
          <w:rFonts w:hint="eastAsia" w:ascii="仿宋" w:hAnsi="仿宋" w:eastAsia="仿宋"/>
          <w:sz w:val="28"/>
          <w:szCs w:val="28"/>
        </w:rPr>
        <w:t>: 辖大码头、锁前、老虎头、花湖、天虹、天方6个居民委员会，其中，大码头和锁前为“村改居”社区。辖区面积约8.6平方公里，常住人口近5万人。辖区有市公安局、市地税局、市质量技术监督局等机关事业单位12家，有东方装饰城、科威自控有限公司、鑫大地物流等规模以上企业44家，有装饰材料市场、家居市场、木材市场、农副产品批发市场、钢材交易市场、汽车销售市场和物流中心等商贸企业500余家。全年完成固定资产投资125.83亿元，同比增长2.59%；社会</w:t>
      </w:r>
      <w:r>
        <w:rPr>
          <w:rFonts w:ascii="仿宋" w:hAnsi="仿宋" w:eastAsia="仿宋"/>
          <w:sz w:val="28"/>
          <w:szCs w:val="28"/>
        </w:rPr>
        <w:t>消费品零售总额</w:t>
      </w:r>
      <w:r>
        <w:rPr>
          <w:rFonts w:hint="eastAsia" w:ascii="仿宋" w:hAnsi="仿宋" w:eastAsia="仿宋"/>
          <w:sz w:val="28"/>
          <w:szCs w:val="28"/>
        </w:rPr>
        <w:t>13.12</w:t>
      </w:r>
      <w:r>
        <w:rPr>
          <w:rFonts w:ascii="仿宋" w:hAnsi="仿宋" w:eastAsia="仿宋"/>
          <w:sz w:val="28"/>
          <w:szCs w:val="28"/>
        </w:rPr>
        <w:t>亿元,</w:t>
      </w:r>
      <w:r>
        <w:rPr>
          <w:rFonts w:hint="eastAsia" w:ascii="仿宋" w:hAnsi="仿宋" w:eastAsia="仿宋"/>
          <w:sz w:val="28"/>
          <w:szCs w:val="28"/>
        </w:rPr>
        <w:t>同比</w:t>
      </w:r>
      <w:r>
        <w:rPr>
          <w:rFonts w:ascii="仿宋" w:hAnsi="仿宋" w:eastAsia="仿宋"/>
          <w:sz w:val="28"/>
          <w:szCs w:val="28"/>
        </w:rPr>
        <w:t>增长</w:t>
      </w:r>
      <w:r>
        <w:rPr>
          <w:rFonts w:hint="eastAsia" w:ascii="仿宋" w:hAnsi="仿宋" w:eastAsia="仿宋"/>
          <w:sz w:val="28"/>
          <w:szCs w:val="28"/>
        </w:rPr>
        <w:t>22.2</w:t>
      </w:r>
      <w:r>
        <w:rPr>
          <w:rFonts w:ascii="仿宋" w:hAnsi="仿宋" w:eastAsia="仿宋"/>
          <w:sz w:val="28"/>
          <w:szCs w:val="28"/>
        </w:rPr>
        <w:t>%</w:t>
      </w:r>
      <w:r>
        <w:rPr>
          <w:rFonts w:hint="eastAsia" w:ascii="仿宋" w:hAnsi="仿宋" w:eastAsia="仿宋"/>
          <w:sz w:val="28"/>
          <w:szCs w:val="28"/>
        </w:rPr>
        <w:t>；服务业营业收入3.08亿元，同比增长11%。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bdr w:val="none" w:color="auto" w:sz="0" w:space="0"/>
          <w:shd w:val="clear" w:fill="FFFFFF"/>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第二部分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bdr w:val="none" w:color="auto" w:sz="0" w:space="0"/>
          <w:shd w:val="clear" w:fill="FFFFFF"/>
        </w:rPr>
      </w:pPr>
      <w:r>
        <w:drawing>
          <wp:inline distT="0" distB="0" distL="114300" distR="114300">
            <wp:extent cx="5964555" cy="5268595"/>
            <wp:effectExtent l="0" t="0" r="17145" b="825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4"/>
                    <a:stretch>
                      <a:fillRect/>
                    </a:stretch>
                  </pic:blipFill>
                  <pic:spPr>
                    <a:xfrm>
                      <a:off x="0" y="0"/>
                      <a:ext cx="5964555" cy="526859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853170" cy="3790950"/>
            <wp:effectExtent l="0" t="0" r="508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5"/>
                    <a:stretch>
                      <a:fillRect/>
                    </a:stretch>
                  </pic:blipFill>
                  <pic:spPr>
                    <a:xfrm>
                      <a:off x="0" y="0"/>
                      <a:ext cx="8853170" cy="3790950"/>
                    </a:xfrm>
                    <a:prstGeom prst="rect">
                      <a:avLst/>
                    </a:prstGeom>
                    <a:noFill/>
                    <a:ln w="9525">
                      <a:noFill/>
                    </a:ln>
                  </pic:spPr>
                </pic:pic>
              </a:graphicData>
            </a:graphic>
          </wp:inline>
        </w:drawing>
      </w:r>
      <w:r>
        <w:drawing>
          <wp:inline distT="0" distB="0" distL="114300" distR="114300">
            <wp:extent cx="8861425" cy="4126865"/>
            <wp:effectExtent l="0" t="0" r="15875"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
                    <a:stretch>
                      <a:fillRect/>
                    </a:stretch>
                  </pic:blipFill>
                  <pic:spPr>
                    <a:xfrm>
                      <a:off x="0" y="0"/>
                      <a:ext cx="8861425" cy="4126865"/>
                    </a:xfrm>
                    <a:prstGeom prst="rect">
                      <a:avLst/>
                    </a:prstGeom>
                    <a:noFill/>
                    <a:ln w="9525">
                      <a:noFill/>
                    </a:ln>
                  </pic:spPr>
                </pic:pic>
              </a:graphicData>
            </a:graphic>
          </wp:inline>
        </w:drawing>
      </w:r>
      <w:r>
        <w:drawing>
          <wp:inline distT="0" distB="0" distL="114300" distR="114300">
            <wp:extent cx="6410325" cy="519112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7"/>
                    <a:stretch>
                      <a:fillRect/>
                    </a:stretch>
                  </pic:blipFill>
                  <pic:spPr>
                    <a:xfrm>
                      <a:off x="0" y="0"/>
                      <a:ext cx="6410325" cy="5191125"/>
                    </a:xfrm>
                    <a:prstGeom prst="rect">
                      <a:avLst/>
                    </a:prstGeom>
                    <a:noFill/>
                    <a:ln w="9525">
                      <a:noFill/>
                    </a:ln>
                  </pic:spPr>
                </pic:pic>
              </a:graphicData>
            </a:graphic>
          </wp:inline>
        </w:drawing>
      </w:r>
      <w:r>
        <w:drawing>
          <wp:inline distT="0" distB="0" distL="114300" distR="114300">
            <wp:extent cx="5915025" cy="4829175"/>
            <wp:effectExtent l="0" t="0" r="9525"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8"/>
                    <a:stretch>
                      <a:fillRect/>
                    </a:stretch>
                  </pic:blipFill>
                  <pic:spPr>
                    <a:xfrm>
                      <a:off x="0" y="0"/>
                      <a:ext cx="5915025" cy="4829175"/>
                    </a:xfrm>
                    <a:prstGeom prst="rect">
                      <a:avLst/>
                    </a:prstGeom>
                    <a:noFill/>
                    <a:ln w="9525">
                      <a:noFill/>
                    </a:ln>
                  </pic:spPr>
                </pic:pic>
              </a:graphicData>
            </a:graphic>
          </wp:inline>
        </w:drawing>
      </w:r>
      <w:r>
        <w:drawing>
          <wp:inline distT="0" distB="0" distL="114300" distR="114300">
            <wp:extent cx="8860790" cy="4959350"/>
            <wp:effectExtent l="0" t="0" r="16510" b="1270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9"/>
                    <a:stretch>
                      <a:fillRect/>
                    </a:stretch>
                  </pic:blipFill>
                  <pic:spPr>
                    <a:xfrm>
                      <a:off x="0" y="0"/>
                      <a:ext cx="8860790" cy="4959350"/>
                    </a:xfrm>
                    <a:prstGeom prst="rect">
                      <a:avLst/>
                    </a:prstGeom>
                    <a:noFill/>
                    <a:ln w="9525">
                      <a:noFill/>
                    </a:ln>
                  </pic:spPr>
                </pic:pic>
              </a:graphicData>
            </a:graphic>
          </wp:inline>
        </w:drawing>
      </w:r>
      <w:r>
        <w:drawing>
          <wp:inline distT="0" distB="0" distL="114300" distR="114300">
            <wp:extent cx="8856980" cy="1929130"/>
            <wp:effectExtent l="0" t="0" r="1270" b="1397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0"/>
                    <a:stretch>
                      <a:fillRect/>
                    </a:stretch>
                  </pic:blipFill>
                  <pic:spPr>
                    <a:xfrm>
                      <a:off x="0" y="0"/>
                      <a:ext cx="8856980" cy="1929130"/>
                    </a:xfrm>
                    <a:prstGeom prst="rect">
                      <a:avLst/>
                    </a:prstGeom>
                    <a:noFill/>
                    <a:ln w="9525">
                      <a:noFill/>
                    </a:ln>
                  </pic:spPr>
                </pic:pic>
              </a:graphicData>
            </a:graphic>
          </wp:inline>
        </w:drawing>
      </w:r>
      <w:r>
        <w:drawing>
          <wp:inline distT="0" distB="0" distL="114300" distR="114300">
            <wp:extent cx="8860155" cy="2394585"/>
            <wp:effectExtent l="0" t="0" r="1714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1"/>
                    <a:stretch>
                      <a:fillRect/>
                    </a:stretch>
                  </pic:blipFill>
                  <pic:spPr>
                    <a:xfrm>
                      <a:off x="0" y="0"/>
                      <a:ext cx="8860155" cy="239458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lang w:eastAsia="zh-CN"/>
        </w:rPr>
        <w:t>第三部分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2017年部门决算情况说明</w:t>
      </w:r>
    </w:p>
    <w:p>
      <w:pPr>
        <w:rPr>
          <w:rFonts w:hint="eastAsia" w:ascii="仿宋" w:hAnsi="仿宋" w:eastAsia="仿宋"/>
          <w:b/>
          <w:sz w:val="32"/>
          <w:szCs w:val="32"/>
        </w:rPr>
      </w:pPr>
      <w:r>
        <w:rPr>
          <w:rFonts w:hint="eastAsia" w:ascii="宋体" w:hAnsi="宋体" w:eastAsia="宋体" w:cs="宋体"/>
          <w:b w:val="0"/>
          <w:bCs w:val="0"/>
          <w:sz w:val="24"/>
          <w:szCs w:val="24"/>
        </w:rPr>
        <w:t>一</w:t>
      </w:r>
      <w:r>
        <w:rPr>
          <w:rFonts w:hint="eastAsia" w:ascii="仿宋" w:hAnsi="仿宋" w:eastAsia="仿宋"/>
          <w:b/>
          <w:sz w:val="32"/>
          <w:szCs w:val="32"/>
        </w:rPr>
        <w:t>.收入支出预算执行情况分析</w:t>
      </w:r>
    </w:p>
    <w:p>
      <w:pPr>
        <w:widowControl/>
        <w:rPr>
          <w:rFonts w:hint="eastAsia" w:ascii="仿宋" w:hAnsi="仿宋" w:eastAsia="仿宋"/>
          <w:b/>
          <w:color w:val="000000"/>
          <w:spacing w:val="2"/>
          <w:sz w:val="28"/>
          <w:szCs w:val="28"/>
        </w:rPr>
      </w:pPr>
      <w:r>
        <w:rPr>
          <w:rFonts w:hint="eastAsia" w:ascii="仿宋" w:hAnsi="仿宋" w:eastAsia="仿宋"/>
          <w:b/>
          <w:color w:val="000000"/>
          <w:spacing w:val="2"/>
          <w:sz w:val="28"/>
          <w:szCs w:val="28"/>
        </w:rPr>
        <w:t>1.收入支出预算安排情况</w:t>
      </w:r>
    </w:p>
    <w:p>
      <w:pPr>
        <w:widowControl/>
        <w:ind w:firstLine="556" w:firstLineChars="196"/>
        <w:rPr>
          <w:rFonts w:hint="eastAsia" w:ascii="仿宋" w:hAnsi="仿宋" w:eastAsia="仿宋"/>
          <w:color w:val="FF0000"/>
          <w:spacing w:val="2"/>
          <w:sz w:val="28"/>
          <w:szCs w:val="28"/>
        </w:rPr>
      </w:pPr>
      <w:r>
        <w:rPr>
          <w:rFonts w:hint="eastAsia" w:ascii="仿宋" w:hAnsi="仿宋" w:eastAsia="仿宋"/>
          <w:color w:val="000000"/>
          <w:spacing w:val="2"/>
          <w:sz w:val="28"/>
          <w:szCs w:val="28"/>
        </w:rPr>
        <w:t>2017年财政收入预算数456.9万元，其中人员经费311.6万元，公用经费145.3万元。</w:t>
      </w:r>
    </w:p>
    <w:p>
      <w:pPr>
        <w:widowControl/>
        <w:rPr>
          <w:rFonts w:hint="eastAsia" w:ascii="仿宋" w:hAnsi="仿宋" w:eastAsia="仿宋"/>
          <w:b/>
          <w:color w:val="000000"/>
          <w:spacing w:val="2"/>
          <w:sz w:val="28"/>
          <w:szCs w:val="28"/>
        </w:rPr>
      </w:pPr>
      <w:r>
        <w:rPr>
          <w:rFonts w:hint="eastAsia" w:ascii="仿宋" w:hAnsi="仿宋" w:eastAsia="仿宋"/>
          <w:b/>
          <w:color w:val="000000"/>
          <w:spacing w:val="2"/>
          <w:sz w:val="28"/>
          <w:szCs w:val="28"/>
        </w:rPr>
        <w:t>2、收入支出预算执行情况</w:t>
      </w:r>
    </w:p>
    <w:p>
      <w:pPr>
        <w:widowControl/>
        <w:ind w:firstLine="548" w:firstLineChars="196"/>
        <w:rPr>
          <w:rFonts w:hint="eastAsia" w:ascii="仿宋" w:hAnsi="仿宋" w:eastAsia="仿宋"/>
          <w:sz w:val="28"/>
          <w:szCs w:val="28"/>
        </w:rPr>
      </w:pPr>
      <w:r>
        <w:rPr>
          <w:rFonts w:hint="eastAsia" w:ascii="仿宋" w:hAnsi="仿宋" w:eastAsia="仿宋"/>
          <w:sz w:val="28"/>
          <w:szCs w:val="28"/>
        </w:rPr>
        <w:t>2017年财政收入预算执行数456.9万元，其中人员经费311.6万元，公用经费145.3万元，与上年预算数增加1.23%。人员经费与去年相比减少1.09%，公用经费与去年相比增加5.2%。</w:t>
      </w:r>
    </w:p>
    <w:p>
      <w:pPr>
        <w:widowControl/>
        <w:rPr>
          <w:rFonts w:hint="eastAsia" w:ascii="仿宋" w:hAnsi="仿宋" w:eastAsia="仿宋"/>
          <w:b/>
          <w:color w:val="000000"/>
          <w:spacing w:val="2"/>
          <w:sz w:val="30"/>
          <w:szCs w:val="30"/>
        </w:rPr>
      </w:pPr>
      <w:r>
        <w:rPr>
          <w:rFonts w:hint="eastAsia" w:ascii="仿宋" w:hAnsi="仿宋" w:eastAsia="仿宋"/>
          <w:b/>
          <w:color w:val="000000"/>
          <w:spacing w:val="2"/>
          <w:sz w:val="30"/>
          <w:szCs w:val="30"/>
        </w:rPr>
        <w:t>3、收入支出与预算对比分析</w:t>
      </w:r>
    </w:p>
    <w:p>
      <w:pPr>
        <w:widowControl/>
        <w:ind w:firstLine="548" w:firstLineChars="196"/>
        <w:rPr>
          <w:rFonts w:hint="eastAsia" w:ascii="仿宋" w:hAnsi="仿宋" w:eastAsia="仿宋"/>
          <w:sz w:val="28"/>
          <w:szCs w:val="28"/>
        </w:rPr>
      </w:pPr>
      <w:r>
        <w:rPr>
          <w:rFonts w:hint="eastAsia" w:ascii="仿宋" w:hAnsi="仿宋" w:eastAsia="仿宋"/>
          <w:sz w:val="28"/>
          <w:szCs w:val="28"/>
        </w:rPr>
        <w:t>2017年全年总收入3218.8万元,其中财拔款决算收入1119万元(基本支出行政运行651万元),其它收入2146万元, 2017年全年总支出3218.8万元,其中财拔款决算支出1119万元(基本支出行政运行651万元),其它资金支出468万元,2017年财政预算数456.9万元，财拔决算比预算多662.1万元,幅度为60%,原因为业务增加。</w:t>
      </w:r>
    </w:p>
    <w:p>
      <w:pPr>
        <w:spacing w:line="440" w:lineRule="exact"/>
        <w:rPr>
          <w:rFonts w:hint="eastAsia" w:ascii="仿宋" w:hAnsi="仿宋" w:eastAsia="仿宋"/>
          <w:b/>
          <w:color w:val="000000"/>
          <w:spacing w:val="2"/>
          <w:sz w:val="30"/>
          <w:szCs w:val="30"/>
        </w:rPr>
      </w:pPr>
      <w:r>
        <w:rPr>
          <w:rFonts w:hint="eastAsia" w:ascii="仿宋" w:hAnsi="仿宋" w:eastAsia="仿宋"/>
          <w:b/>
          <w:color w:val="000000"/>
          <w:spacing w:val="2"/>
          <w:sz w:val="30"/>
          <w:szCs w:val="30"/>
        </w:rPr>
        <w:t>4、收入支出结构分析</w:t>
      </w:r>
    </w:p>
    <w:p>
      <w:pPr>
        <w:spacing w:line="440" w:lineRule="exact"/>
        <w:ind w:firstLine="568" w:firstLineChars="200"/>
        <w:rPr>
          <w:rFonts w:hint="eastAsia" w:ascii="仿宋" w:hAnsi="仿宋" w:eastAsia="仿宋"/>
          <w:color w:val="000000"/>
          <w:spacing w:val="2"/>
          <w:sz w:val="28"/>
          <w:szCs w:val="28"/>
        </w:rPr>
      </w:pPr>
      <w:r>
        <w:rPr>
          <w:rFonts w:hint="eastAsia" w:ascii="仿宋" w:hAnsi="仿宋" w:eastAsia="仿宋"/>
          <w:color w:val="000000"/>
          <w:spacing w:val="2"/>
          <w:sz w:val="28"/>
          <w:szCs w:val="28"/>
        </w:rPr>
        <w:t>2017年全年总收入3218.8万元,其中财拔款决算收入1119元(基本支出行政运行651万元),占总收入34.7%,其它收入2146万元, 占总收入66.6%, 2017年全年总支出3218.8万元,其中财拔款决算支出1119万元(基本支出行政运行651万元),占总支出58%,其它资金支出467万元, 占总支出41.7%。</w:t>
      </w:r>
    </w:p>
    <w:p>
      <w:pPr>
        <w:spacing w:line="440" w:lineRule="exact"/>
        <w:ind w:firstLine="610" w:firstLineChars="200"/>
        <w:rPr>
          <w:rFonts w:hint="eastAsia" w:ascii="仿宋" w:hAnsi="仿宋" w:eastAsia="仿宋"/>
          <w:b/>
          <w:color w:val="000000"/>
          <w:spacing w:val="2"/>
          <w:sz w:val="30"/>
          <w:szCs w:val="30"/>
        </w:rPr>
      </w:pPr>
      <w:r>
        <w:rPr>
          <w:rFonts w:hint="eastAsia" w:ascii="仿宋" w:hAnsi="仿宋" w:eastAsia="仿宋"/>
          <w:b/>
          <w:color w:val="000000"/>
          <w:spacing w:val="2"/>
          <w:sz w:val="30"/>
          <w:szCs w:val="30"/>
        </w:rPr>
        <w:t>5、支出按经济分类科目分析</w:t>
      </w:r>
    </w:p>
    <w:p>
      <w:pPr>
        <w:spacing w:line="440" w:lineRule="exact"/>
        <w:ind w:firstLine="568" w:firstLineChars="200"/>
        <w:rPr>
          <w:rFonts w:hint="eastAsia" w:ascii="仿宋" w:hAnsi="仿宋" w:eastAsia="仿宋"/>
          <w:color w:val="000000"/>
          <w:spacing w:val="2"/>
          <w:sz w:val="28"/>
          <w:szCs w:val="28"/>
        </w:rPr>
      </w:pPr>
      <w:r>
        <w:rPr>
          <w:rFonts w:hint="eastAsia" w:ascii="仿宋" w:hAnsi="仿宋" w:eastAsia="仿宋"/>
          <w:color w:val="000000"/>
          <w:spacing w:val="2"/>
          <w:sz w:val="28"/>
          <w:szCs w:val="28"/>
        </w:rPr>
        <w:t>(1)</w:t>
      </w:r>
      <w:r>
        <w:rPr>
          <w:rFonts w:ascii="仿宋" w:hAnsi="仿宋" w:eastAsia="仿宋"/>
          <w:color w:val="000000"/>
          <w:spacing w:val="2"/>
          <w:sz w:val="28"/>
          <w:szCs w:val="28"/>
        </w:rPr>
        <w:t>”</w:t>
      </w:r>
      <w:r>
        <w:rPr>
          <w:rFonts w:hint="eastAsia" w:ascii="仿宋" w:hAnsi="仿宋" w:eastAsia="仿宋"/>
          <w:color w:val="000000"/>
          <w:spacing w:val="2"/>
          <w:sz w:val="28"/>
          <w:szCs w:val="28"/>
        </w:rPr>
        <w:t>三公</w:t>
      </w:r>
      <w:r>
        <w:rPr>
          <w:rFonts w:ascii="仿宋" w:hAnsi="仿宋" w:eastAsia="仿宋"/>
          <w:color w:val="000000"/>
          <w:spacing w:val="2"/>
          <w:sz w:val="28"/>
          <w:szCs w:val="28"/>
        </w:rPr>
        <w:t>”</w:t>
      </w:r>
      <w:r>
        <w:rPr>
          <w:rFonts w:hint="eastAsia" w:ascii="仿宋" w:hAnsi="仿宋" w:eastAsia="仿宋"/>
          <w:color w:val="000000"/>
          <w:spacing w:val="2"/>
          <w:sz w:val="28"/>
          <w:szCs w:val="28"/>
        </w:rPr>
        <w:t>经支出情况: 2017年决算公务车运行维护费0元， 2016年决算公务车运行维护费0元。</w:t>
      </w:r>
    </w:p>
    <w:p>
      <w:pPr>
        <w:spacing w:line="440" w:lineRule="exact"/>
        <w:ind w:firstLine="568" w:firstLineChars="200"/>
        <w:rPr>
          <w:rFonts w:hint="eastAsia" w:ascii="仿宋" w:hAnsi="仿宋" w:eastAsia="仿宋"/>
          <w:color w:val="000000"/>
          <w:spacing w:val="2"/>
          <w:sz w:val="28"/>
          <w:szCs w:val="28"/>
        </w:rPr>
      </w:pPr>
      <w:r>
        <w:rPr>
          <w:rFonts w:hint="eastAsia" w:ascii="仿宋" w:hAnsi="仿宋" w:eastAsia="仿宋"/>
          <w:color w:val="000000"/>
          <w:spacing w:val="2"/>
          <w:sz w:val="28"/>
          <w:szCs w:val="28"/>
        </w:rPr>
        <w:t xml:space="preserve"> (2)会议费支出情况: 2017年决算会议费为0万元,2016年决算会议费为0万元;</w:t>
      </w:r>
    </w:p>
    <w:p>
      <w:pPr>
        <w:spacing w:line="440" w:lineRule="exact"/>
        <w:ind w:firstLine="568" w:firstLineChars="200"/>
        <w:rPr>
          <w:rFonts w:hint="eastAsia" w:ascii="仿宋" w:hAnsi="仿宋" w:eastAsia="仿宋"/>
          <w:color w:val="000000"/>
          <w:spacing w:val="2"/>
          <w:sz w:val="28"/>
          <w:szCs w:val="28"/>
        </w:rPr>
      </w:pPr>
      <w:r>
        <w:rPr>
          <w:rFonts w:hint="eastAsia" w:ascii="仿宋" w:hAnsi="仿宋" w:eastAsia="仿宋"/>
          <w:color w:val="000000"/>
          <w:spacing w:val="2"/>
          <w:sz w:val="28"/>
          <w:szCs w:val="28"/>
        </w:rPr>
        <w:t>(3)培训费支出情况</w:t>
      </w:r>
    </w:p>
    <w:p>
      <w:pPr>
        <w:pStyle w:val="3"/>
        <w:spacing w:line="600" w:lineRule="exact"/>
        <w:ind w:firstLine="568"/>
        <w:rPr>
          <w:rFonts w:hint="eastAsia" w:ascii="仿宋" w:hAnsi="仿宋" w:eastAsia="仿宋"/>
          <w:color w:val="000000"/>
          <w:spacing w:val="2"/>
          <w:sz w:val="28"/>
          <w:szCs w:val="28"/>
        </w:rPr>
      </w:pPr>
      <w:r>
        <w:rPr>
          <w:rFonts w:hint="eastAsia" w:ascii="仿宋" w:hAnsi="仿宋" w:eastAsia="仿宋"/>
          <w:color w:val="000000"/>
          <w:spacing w:val="2"/>
          <w:sz w:val="28"/>
          <w:szCs w:val="28"/>
        </w:rPr>
        <w:t xml:space="preserve">2017年决算培训费1.8万元，2016年决算培训费4.7万元， </w:t>
      </w:r>
    </w:p>
    <w:p>
      <w:pPr>
        <w:pStyle w:val="3"/>
        <w:spacing w:line="600" w:lineRule="exact"/>
        <w:ind w:firstLine="568"/>
        <w:rPr>
          <w:rFonts w:hint="eastAsia" w:ascii="仿宋" w:hAnsi="仿宋" w:eastAsia="仿宋"/>
          <w:color w:val="000000"/>
          <w:spacing w:val="2"/>
          <w:sz w:val="28"/>
          <w:szCs w:val="28"/>
        </w:rPr>
      </w:pPr>
      <w:r>
        <w:rPr>
          <w:rFonts w:hint="eastAsia" w:ascii="仿宋" w:hAnsi="仿宋" w:eastAsia="仿宋"/>
          <w:color w:val="000000"/>
          <w:spacing w:val="2"/>
          <w:sz w:val="28"/>
          <w:szCs w:val="28"/>
        </w:rPr>
        <w:t>(4)差旅费支出情况</w:t>
      </w:r>
    </w:p>
    <w:p>
      <w:pPr>
        <w:pStyle w:val="3"/>
        <w:spacing w:line="600" w:lineRule="exact"/>
        <w:rPr>
          <w:rFonts w:hint="eastAsia" w:ascii="仿宋" w:hAnsi="仿宋" w:eastAsia="仿宋"/>
        </w:rPr>
      </w:pPr>
      <w:r>
        <w:rPr>
          <w:rFonts w:hint="eastAsia" w:ascii="仿宋" w:hAnsi="仿宋" w:eastAsia="仿宋"/>
        </w:rPr>
        <w:t>2017年决算差旅费为3532.00元， 2016年决算差旅费0元。</w:t>
      </w:r>
    </w:p>
    <w:p>
      <w:pPr>
        <w:pStyle w:val="3"/>
        <w:spacing w:line="600" w:lineRule="exact"/>
        <w:ind w:firstLine="0" w:firstLineChars="0"/>
        <w:rPr>
          <w:rFonts w:hint="eastAsia" w:ascii="仿宋" w:hAnsi="仿宋" w:eastAsia="仿宋"/>
          <w:color w:val="000000"/>
          <w:spacing w:val="2"/>
          <w:sz w:val="28"/>
          <w:szCs w:val="28"/>
        </w:rPr>
      </w:pPr>
      <w:r>
        <w:rPr>
          <w:rFonts w:hint="eastAsia" w:ascii="仿宋" w:hAnsi="仿宋" w:eastAsia="仿宋"/>
          <w:b/>
          <w:sz w:val="30"/>
          <w:szCs w:val="30"/>
        </w:rPr>
        <w:t>6.财政拔款收入、支出分析</w:t>
      </w:r>
    </w:p>
    <w:p>
      <w:pPr>
        <w:pStyle w:val="3"/>
        <w:spacing w:line="600" w:lineRule="exact"/>
        <w:ind w:firstLine="568"/>
        <w:rPr>
          <w:rFonts w:hint="eastAsia" w:ascii="仿宋" w:hAnsi="仿宋" w:eastAsia="仿宋"/>
          <w:color w:val="000000"/>
          <w:spacing w:val="2"/>
          <w:sz w:val="28"/>
          <w:szCs w:val="28"/>
        </w:rPr>
      </w:pPr>
      <w:r>
        <w:rPr>
          <w:rFonts w:hint="eastAsia" w:ascii="仿宋" w:hAnsi="仿宋" w:eastAsia="仿宋"/>
          <w:color w:val="000000"/>
          <w:spacing w:val="2"/>
          <w:sz w:val="28"/>
          <w:szCs w:val="28"/>
        </w:rPr>
        <w:t>财拔款决算收入3218.8万元，其中基本支出行政运行1119万元, 财拔款决算支出3218.8万元，基本支出行政运行1119万元,其中人员经费651.7万元,公用经费467.3万元。</w:t>
      </w:r>
    </w:p>
    <w:p>
      <w:pPr>
        <w:spacing w:line="440" w:lineRule="exact"/>
        <w:rPr>
          <w:rFonts w:hint="eastAsia" w:ascii="仿宋" w:hAnsi="仿宋" w:eastAsia="仿宋"/>
          <w:b/>
          <w:color w:val="000000"/>
          <w:spacing w:val="2"/>
          <w:sz w:val="32"/>
          <w:szCs w:val="32"/>
        </w:rPr>
      </w:pPr>
    </w:p>
    <w:p>
      <w:pPr>
        <w:spacing w:line="440" w:lineRule="exact"/>
        <w:rPr>
          <w:rFonts w:hint="eastAsia" w:ascii="仿宋" w:hAnsi="仿宋" w:eastAsia="仿宋"/>
          <w:b/>
          <w:color w:val="000000"/>
          <w:spacing w:val="2"/>
          <w:sz w:val="32"/>
          <w:szCs w:val="32"/>
        </w:rPr>
      </w:pPr>
      <w:r>
        <w:rPr>
          <w:rFonts w:hint="eastAsia" w:ascii="仿宋" w:hAnsi="仿宋" w:eastAsia="仿宋"/>
          <w:b/>
          <w:color w:val="000000"/>
          <w:spacing w:val="2"/>
          <w:sz w:val="32"/>
          <w:szCs w:val="32"/>
        </w:rPr>
        <w:t>三</w:t>
      </w:r>
      <w:bookmarkStart w:id="0" w:name="_GoBack"/>
      <w:bookmarkEnd w:id="0"/>
      <w:r>
        <w:rPr>
          <w:rFonts w:hint="eastAsia" w:ascii="仿宋" w:hAnsi="仿宋" w:eastAsia="仿宋"/>
          <w:b/>
          <w:color w:val="000000"/>
          <w:spacing w:val="2"/>
          <w:sz w:val="32"/>
          <w:szCs w:val="32"/>
        </w:rPr>
        <w:t>、2017年无政府采购支出</w:t>
      </w:r>
    </w:p>
    <w:p>
      <w:pPr>
        <w:spacing w:line="440" w:lineRule="exact"/>
        <w:rPr>
          <w:rFonts w:hint="eastAsia" w:ascii="仿宋" w:hAnsi="仿宋" w:eastAsia="仿宋"/>
          <w:color w:val="000000"/>
          <w:spacing w:val="2"/>
          <w:sz w:val="28"/>
          <w:szCs w:val="28"/>
        </w:rPr>
      </w:pPr>
      <w:r>
        <w:rPr>
          <w:rFonts w:hint="eastAsia" w:ascii="仿宋" w:hAnsi="仿宋" w:eastAsia="仿宋"/>
          <w:color w:val="000000"/>
          <w:spacing w:val="2"/>
          <w:sz w:val="28"/>
          <w:szCs w:val="28"/>
        </w:rPr>
        <w:t>2017年本单位无政府采购支出</w:t>
      </w:r>
    </w:p>
    <w:p>
      <w:pPr>
        <w:spacing w:line="440" w:lineRule="exact"/>
        <w:rPr>
          <w:rFonts w:hint="eastAsia" w:ascii="仿宋" w:hAnsi="仿宋" w:eastAsia="仿宋"/>
          <w:b/>
          <w:color w:val="000000"/>
          <w:spacing w:val="2"/>
          <w:sz w:val="32"/>
          <w:szCs w:val="32"/>
        </w:rPr>
      </w:pPr>
    </w:p>
    <w:p>
      <w:pPr>
        <w:spacing w:line="440" w:lineRule="exact"/>
        <w:rPr>
          <w:rFonts w:hint="eastAsia" w:ascii="仿宋" w:hAnsi="仿宋" w:eastAsia="仿宋"/>
          <w:b/>
          <w:color w:val="000000"/>
          <w:spacing w:val="2"/>
          <w:sz w:val="32"/>
          <w:szCs w:val="32"/>
        </w:rPr>
      </w:pPr>
      <w:r>
        <w:rPr>
          <w:rFonts w:hint="eastAsia" w:ascii="仿宋" w:hAnsi="仿宋" w:eastAsia="仿宋"/>
          <w:b/>
          <w:color w:val="000000"/>
          <w:spacing w:val="2"/>
          <w:sz w:val="32"/>
          <w:szCs w:val="32"/>
        </w:rPr>
        <w:t>四、机关运行经费执行情况说明</w:t>
      </w:r>
    </w:p>
    <w:p>
      <w:pPr>
        <w:spacing w:line="440" w:lineRule="exact"/>
        <w:rPr>
          <w:rFonts w:hint="eastAsia" w:ascii="仿宋" w:hAnsi="仿宋" w:eastAsia="仿宋"/>
          <w:color w:val="000000"/>
          <w:spacing w:val="2"/>
          <w:sz w:val="32"/>
          <w:szCs w:val="32"/>
        </w:rPr>
      </w:pPr>
      <w:r>
        <w:rPr>
          <w:rFonts w:hint="eastAsia" w:ascii="仿宋" w:hAnsi="仿宋" w:eastAsia="仿宋"/>
          <w:color w:val="000000"/>
          <w:spacing w:val="2"/>
          <w:sz w:val="32"/>
          <w:szCs w:val="32"/>
        </w:rPr>
        <w:t>2017年本单位机关运行经费共711万元，同比上年减少60.97%。主要原因是2016年下半年花湖街道由开发区划入黄石港区，2016年账务核算不准确，数据不具可比性。</w:t>
      </w:r>
    </w:p>
    <w:p>
      <w:pPr>
        <w:spacing w:line="440" w:lineRule="exact"/>
        <w:rPr>
          <w:rFonts w:ascii="仿宋" w:hAnsi="仿宋" w:eastAsia="仿宋"/>
          <w:b/>
          <w:color w:val="000000"/>
          <w:spacing w:val="2"/>
          <w:sz w:val="32"/>
          <w:szCs w:val="32"/>
        </w:rPr>
      </w:pPr>
      <w:r>
        <w:rPr>
          <w:rFonts w:hint="eastAsia" w:ascii="仿宋" w:hAnsi="仿宋" w:eastAsia="仿宋"/>
          <w:b/>
          <w:color w:val="000000"/>
          <w:spacing w:val="2"/>
          <w:sz w:val="32"/>
          <w:szCs w:val="32"/>
        </w:rPr>
        <w:t>五、资产负债情况分析</w:t>
      </w:r>
    </w:p>
    <w:p>
      <w:pPr>
        <w:spacing w:line="440" w:lineRule="exact"/>
        <w:ind w:firstLine="713" w:firstLineChars="250"/>
        <w:rPr>
          <w:rFonts w:ascii="仿宋" w:hAnsi="仿宋" w:eastAsia="仿宋"/>
          <w:b/>
          <w:color w:val="000000"/>
          <w:spacing w:val="2"/>
          <w:sz w:val="28"/>
          <w:szCs w:val="28"/>
        </w:rPr>
      </w:pPr>
      <w:r>
        <w:rPr>
          <w:rFonts w:ascii="仿宋" w:hAnsi="仿宋" w:eastAsia="仿宋"/>
          <w:b/>
          <w:color w:val="000000"/>
          <w:spacing w:val="2"/>
          <w:sz w:val="28"/>
          <w:szCs w:val="28"/>
        </w:rPr>
        <w:t>(</w:t>
      </w:r>
      <w:r>
        <w:rPr>
          <w:rFonts w:hint="eastAsia" w:ascii="仿宋" w:hAnsi="仿宋" w:eastAsia="仿宋"/>
          <w:b/>
          <w:color w:val="000000"/>
          <w:spacing w:val="2"/>
          <w:sz w:val="28"/>
          <w:szCs w:val="28"/>
        </w:rPr>
        <w:t>一</w:t>
      </w:r>
      <w:r>
        <w:rPr>
          <w:rFonts w:ascii="仿宋" w:hAnsi="仿宋" w:eastAsia="仿宋"/>
          <w:b/>
          <w:color w:val="000000"/>
          <w:spacing w:val="2"/>
          <w:sz w:val="28"/>
          <w:szCs w:val="28"/>
        </w:rPr>
        <w:t>)</w:t>
      </w:r>
      <w:r>
        <w:rPr>
          <w:rFonts w:hint="eastAsia" w:ascii="仿宋" w:hAnsi="仿宋" w:eastAsia="仿宋"/>
          <w:b/>
          <w:color w:val="000000"/>
          <w:spacing w:val="2"/>
          <w:sz w:val="28"/>
          <w:szCs w:val="28"/>
        </w:rPr>
        <w:t>资产负债结构情况</w:t>
      </w:r>
    </w:p>
    <w:p>
      <w:pPr>
        <w:spacing w:line="440" w:lineRule="exact"/>
        <w:ind w:firstLine="710" w:firstLineChars="250"/>
        <w:rPr>
          <w:rFonts w:ascii="仿宋" w:hAnsi="仿宋" w:eastAsia="仿宋"/>
          <w:color w:val="000000"/>
          <w:spacing w:val="2"/>
          <w:sz w:val="28"/>
          <w:szCs w:val="28"/>
        </w:rPr>
      </w:pPr>
      <w:r>
        <w:rPr>
          <w:rFonts w:ascii="仿宋" w:hAnsi="仿宋" w:eastAsia="仿宋"/>
          <w:color w:val="000000"/>
          <w:spacing w:val="2"/>
          <w:sz w:val="28"/>
          <w:szCs w:val="28"/>
        </w:rPr>
        <w:t>201</w:t>
      </w:r>
      <w:r>
        <w:rPr>
          <w:rFonts w:hint="eastAsia" w:ascii="仿宋" w:hAnsi="仿宋" w:eastAsia="仿宋"/>
          <w:color w:val="000000"/>
          <w:spacing w:val="2"/>
          <w:sz w:val="28"/>
          <w:szCs w:val="28"/>
        </w:rPr>
        <w:t>7年年末资产类总额1275万元，</w:t>
      </w:r>
      <w:r>
        <w:rPr>
          <w:rFonts w:ascii="仿宋" w:hAnsi="仿宋" w:eastAsia="仿宋"/>
          <w:color w:val="000000"/>
          <w:spacing w:val="2"/>
          <w:sz w:val="28"/>
          <w:szCs w:val="28"/>
        </w:rPr>
        <w:t xml:space="preserve"> </w:t>
      </w:r>
      <w:r>
        <w:rPr>
          <w:rFonts w:hint="eastAsia" w:ascii="仿宋" w:hAnsi="仿宋" w:eastAsia="仿宋"/>
          <w:color w:val="000000"/>
          <w:spacing w:val="2"/>
          <w:sz w:val="28"/>
          <w:szCs w:val="28"/>
        </w:rPr>
        <w:t>年初7773万元</w:t>
      </w:r>
      <w:r>
        <w:rPr>
          <w:rFonts w:ascii="仿宋" w:hAnsi="仿宋" w:eastAsia="仿宋"/>
          <w:color w:val="000000"/>
          <w:spacing w:val="2"/>
          <w:sz w:val="28"/>
          <w:szCs w:val="28"/>
        </w:rPr>
        <w:t>,</w:t>
      </w:r>
      <w:r>
        <w:rPr>
          <w:rFonts w:hint="eastAsia" w:ascii="仿宋" w:hAnsi="仿宋" w:eastAsia="仿宋"/>
          <w:color w:val="000000"/>
          <w:spacing w:val="2"/>
          <w:sz w:val="28"/>
          <w:szCs w:val="28"/>
        </w:rPr>
        <w:t>年末其他应收款为313万元，存货0元</w:t>
      </w:r>
      <w:r>
        <w:rPr>
          <w:rFonts w:ascii="仿宋" w:hAnsi="仿宋" w:eastAsia="仿宋"/>
          <w:color w:val="000000"/>
          <w:spacing w:val="2"/>
          <w:sz w:val="28"/>
          <w:szCs w:val="28"/>
        </w:rPr>
        <w:t>,</w:t>
      </w:r>
      <w:r>
        <w:rPr>
          <w:rFonts w:hint="eastAsia" w:ascii="仿宋" w:hAnsi="仿宋" w:eastAsia="仿宋"/>
          <w:color w:val="000000"/>
          <w:spacing w:val="2"/>
          <w:sz w:val="28"/>
          <w:szCs w:val="28"/>
        </w:rPr>
        <w:t>固定资产为504万元。负债类</w:t>
      </w:r>
      <w:r>
        <w:rPr>
          <w:rFonts w:ascii="仿宋" w:hAnsi="仿宋" w:eastAsia="仿宋"/>
          <w:color w:val="000000"/>
          <w:spacing w:val="2"/>
          <w:sz w:val="28"/>
          <w:szCs w:val="28"/>
        </w:rPr>
        <w:t>201</w:t>
      </w:r>
      <w:r>
        <w:rPr>
          <w:rFonts w:hint="eastAsia" w:ascii="仿宋" w:hAnsi="仿宋" w:eastAsia="仿宋"/>
          <w:color w:val="000000"/>
          <w:spacing w:val="2"/>
          <w:sz w:val="28"/>
          <w:szCs w:val="28"/>
        </w:rPr>
        <w:t>7年年末总额2925344.29元，其他应付款为350万元</w:t>
      </w:r>
      <w:r>
        <w:rPr>
          <w:rFonts w:ascii="仿宋" w:hAnsi="仿宋" w:eastAsia="仿宋"/>
          <w:color w:val="000000"/>
          <w:spacing w:val="2"/>
          <w:sz w:val="28"/>
          <w:szCs w:val="28"/>
        </w:rPr>
        <w:t xml:space="preserve">, </w:t>
      </w:r>
      <w:r>
        <w:rPr>
          <w:rFonts w:hint="eastAsia" w:ascii="仿宋" w:hAnsi="仿宋" w:eastAsia="仿宋"/>
          <w:color w:val="000000"/>
          <w:spacing w:val="2"/>
          <w:sz w:val="28"/>
          <w:szCs w:val="28"/>
        </w:rPr>
        <w:t>财政拨款经费结余</w:t>
      </w:r>
      <w:r>
        <w:rPr>
          <w:rFonts w:ascii="仿宋" w:hAnsi="仿宋" w:eastAsia="仿宋"/>
          <w:color w:val="000000"/>
          <w:spacing w:val="2"/>
          <w:sz w:val="28"/>
          <w:szCs w:val="28"/>
        </w:rPr>
        <w:t>0</w:t>
      </w:r>
      <w:r>
        <w:rPr>
          <w:rFonts w:hint="eastAsia" w:ascii="仿宋" w:hAnsi="仿宋" w:eastAsia="仿宋"/>
          <w:color w:val="000000"/>
          <w:spacing w:val="2"/>
          <w:sz w:val="28"/>
          <w:szCs w:val="28"/>
        </w:rPr>
        <w:t>元，其他资金经费结余1122万元。</w:t>
      </w:r>
    </w:p>
    <w:p>
      <w:pPr>
        <w:spacing w:line="440" w:lineRule="exact"/>
        <w:ind w:firstLine="713" w:firstLineChars="250"/>
        <w:rPr>
          <w:rFonts w:ascii="仿宋" w:hAnsi="仿宋" w:eastAsia="仿宋"/>
          <w:b/>
          <w:color w:val="000000"/>
          <w:spacing w:val="2"/>
          <w:sz w:val="28"/>
          <w:szCs w:val="28"/>
        </w:rPr>
      </w:pPr>
      <w:r>
        <w:rPr>
          <w:rFonts w:ascii="仿宋" w:hAnsi="仿宋" w:eastAsia="仿宋"/>
          <w:b/>
          <w:color w:val="000000"/>
          <w:spacing w:val="2"/>
          <w:sz w:val="28"/>
          <w:szCs w:val="28"/>
        </w:rPr>
        <w:t>(</w:t>
      </w:r>
      <w:r>
        <w:rPr>
          <w:rFonts w:hint="eastAsia" w:ascii="仿宋" w:hAnsi="仿宋" w:eastAsia="仿宋"/>
          <w:b/>
          <w:color w:val="000000"/>
          <w:spacing w:val="2"/>
          <w:sz w:val="28"/>
          <w:szCs w:val="28"/>
        </w:rPr>
        <w:t>二</w:t>
      </w:r>
      <w:r>
        <w:rPr>
          <w:rFonts w:ascii="仿宋" w:hAnsi="仿宋" w:eastAsia="仿宋"/>
          <w:b/>
          <w:color w:val="000000"/>
          <w:spacing w:val="2"/>
          <w:sz w:val="28"/>
          <w:szCs w:val="28"/>
        </w:rPr>
        <w:t>)</w:t>
      </w:r>
      <w:r>
        <w:rPr>
          <w:rFonts w:hint="eastAsia" w:ascii="仿宋" w:hAnsi="仿宋" w:eastAsia="仿宋"/>
          <w:b/>
          <w:color w:val="000000"/>
          <w:spacing w:val="2"/>
          <w:sz w:val="28"/>
          <w:szCs w:val="28"/>
        </w:rPr>
        <w:t>资产负债对比分析</w:t>
      </w:r>
    </w:p>
    <w:p>
      <w:pPr>
        <w:ind w:firstLine="710" w:firstLineChars="250"/>
        <w:rPr>
          <w:rFonts w:hint="eastAsia" w:ascii="仿宋" w:hAnsi="仿宋" w:eastAsia="仿宋"/>
          <w:color w:val="000000"/>
          <w:spacing w:val="2"/>
          <w:sz w:val="28"/>
          <w:szCs w:val="28"/>
        </w:rPr>
      </w:pPr>
      <w:r>
        <w:rPr>
          <w:rFonts w:ascii="仿宋" w:hAnsi="仿宋" w:eastAsia="仿宋"/>
          <w:color w:val="000000"/>
          <w:spacing w:val="2"/>
          <w:sz w:val="28"/>
          <w:szCs w:val="28"/>
        </w:rPr>
        <w:t>201</w:t>
      </w:r>
      <w:r>
        <w:rPr>
          <w:rFonts w:hint="eastAsia" w:ascii="仿宋" w:hAnsi="仿宋" w:eastAsia="仿宋"/>
          <w:color w:val="000000"/>
          <w:spacing w:val="2"/>
          <w:sz w:val="28"/>
          <w:szCs w:val="28"/>
        </w:rPr>
        <w:t>7年年末资产类总额1275万元，</w:t>
      </w:r>
      <w:r>
        <w:rPr>
          <w:rFonts w:ascii="仿宋" w:hAnsi="仿宋" w:eastAsia="仿宋"/>
          <w:color w:val="000000"/>
          <w:spacing w:val="2"/>
          <w:sz w:val="28"/>
          <w:szCs w:val="28"/>
        </w:rPr>
        <w:t>201</w:t>
      </w:r>
      <w:r>
        <w:rPr>
          <w:rFonts w:hint="eastAsia" w:ascii="仿宋" w:hAnsi="仿宋" w:eastAsia="仿宋"/>
          <w:color w:val="000000"/>
          <w:spacing w:val="2"/>
          <w:sz w:val="28"/>
          <w:szCs w:val="28"/>
        </w:rPr>
        <w:t>6年年末资产类总额7773万元，2017年年末应收账款为313万，</w:t>
      </w:r>
      <w:r>
        <w:rPr>
          <w:rFonts w:ascii="仿宋" w:hAnsi="仿宋" w:eastAsia="仿宋"/>
          <w:color w:val="000000"/>
          <w:spacing w:val="2"/>
          <w:sz w:val="28"/>
          <w:szCs w:val="28"/>
        </w:rPr>
        <w:t>2016</w:t>
      </w:r>
      <w:r>
        <w:rPr>
          <w:rFonts w:hint="eastAsia" w:ascii="仿宋" w:hAnsi="仿宋" w:eastAsia="仿宋"/>
          <w:color w:val="000000"/>
          <w:spacing w:val="2"/>
          <w:sz w:val="28"/>
          <w:szCs w:val="28"/>
        </w:rPr>
        <w:t>年年末其他应收款为290万元，</w:t>
      </w:r>
      <w:r>
        <w:rPr>
          <w:rFonts w:ascii="仿宋" w:hAnsi="仿宋" w:eastAsia="仿宋"/>
          <w:color w:val="000000"/>
          <w:spacing w:val="2"/>
          <w:sz w:val="28"/>
          <w:szCs w:val="28"/>
        </w:rPr>
        <w:t>201</w:t>
      </w:r>
      <w:r>
        <w:rPr>
          <w:rFonts w:hint="eastAsia" w:ascii="仿宋" w:hAnsi="仿宋" w:eastAsia="仿宋"/>
          <w:color w:val="000000"/>
          <w:spacing w:val="2"/>
          <w:sz w:val="28"/>
          <w:szCs w:val="28"/>
        </w:rPr>
        <w:t>7年末存货0元</w:t>
      </w:r>
      <w:r>
        <w:rPr>
          <w:rFonts w:ascii="仿宋" w:hAnsi="仿宋" w:eastAsia="仿宋"/>
          <w:color w:val="000000"/>
          <w:spacing w:val="2"/>
          <w:sz w:val="28"/>
          <w:szCs w:val="28"/>
        </w:rPr>
        <w:t>, 201</w:t>
      </w:r>
      <w:r>
        <w:rPr>
          <w:rFonts w:hint="eastAsia" w:ascii="仿宋" w:hAnsi="仿宋" w:eastAsia="仿宋"/>
          <w:color w:val="000000"/>
          <w:spacing w:val="2"/>
          <w:sz w:val="28"/>
          <w:szCs w:val="28"/>
        </w:rPr>
        <w:t>6年年末存货0元</w:t>
      </w:r>
      <w:r>
        <w:rPr>
          <w:rFonts w:ascii="仿宋" w:hAnsi="仿宋" w:eastAsia="仿宋"/>
          <w:color w:val="000000"/>
          <w:spacing w:val="2"/>
          <w:sz w:val="28"/>
          <w:szCs w:val="28"/>
        </w:rPr>
        <w:t>,</w:t>
      </w:r>
      <w:r>
        <w:rPr>
          <w:rFonts w:hint="eastAsia" w:ascii="仿宋" w:hAnsi="仿宋" w:eastAsia="仿宋"/>
          <w:color w:val="000000"/>
          <w:spacing w:val="2"/>
          <w:sz w:val="28"/>
          <w:szCs w:val="28"/>
        </w:rPr>
        <w:t>2017年末固定资产为503万，</w:t>
      </w:r>
      <w:r>
        <w:rPr>
          <w:rFonts w:ascii="仿宋" w:hAnsi="仿宋" w:eastAsia="仿宋"/>
          <w:color w:val="000000"/>
          <w:spacing w:val="2"/>
          <w:sz w:val="28"/>
          <w:szCs w:val="28"/>
        </w:rPr>
        <w:t>2016</w:t>
      </w:r>
      <w:r>
        <w:rPr>
          <w:rFonts w:hint="eastAsia" w:ascii="仿宋" w:hAnsi="仿宋" w:eastAsia="仿宋"/>
          <w:color w:val="000000"/>
          <w:spacing w:val="2"/>
          <w:sz w:val="28"/>
          <w:szCs w:val="28"/>
        </w:rPr>
        <w:t>年年末固定资产为494万元</w:t>
      </w:r>
      <w:r>
        <w:rPr>
          <w:rFonts w:ascii="仿宋" w:hAnsi="仿宋" w:eastAsia="仿宋"/>
          <w:color w:val="000000"/>
          <w:spacing w:val="2"/>
          <w:sz w:val="28"/>
          <w:szCs w:val="28"/>
        </w:rPr>
        <w:t>,</w:t>
      </w:r>
      <w:r>
        <w:rPr>
          <w:rFonts w:hint="eastAsia" w:ascii="仿宋" w:hAnsi="仿宋" w:eastAsia="仿宋"/>
          <w:color w:val="000000"/>
          <w:spacing w:val="2"/>
          <w:sz w:val="28"/>
          <w:szCs w:val="28"/>
        </w:rPr>
        <w:t>负债2017年负债350万，2016年年末负债292万。</w:t>
      </w:r>
    </w:p>
    <w:p>
      <w:pPr>
        <w:spacing w:line="440" w:lineRule="exact"/>
        <w:ind w:firstLine="710" w:firstLineChars="250"/>
        <w:rPr>
          <w:rFonts w:hint="eastAsia" w:ascii="仿宋" w:hAnsi="仿宋" w:eastAsia="仿宋"/>
          <w:b/>
          <w:color w:val="000000"/>
          <w:spacing w:val="2"/>
          <w:sz w:val="28"/>
          <w:szCs w:val="28"/>
        </w:rPr>
      </w:pPr>
      <w:r>
        <w:rPr>
          <w:rFonts w:hint="eastAsia" w:ascii="仿宋" w:hAnsi="仿宋" w:eastAsia="仿宋"/>
          <w:color w:val="000000"/>
          <w:spacing w:val="2"/>
          <w:sz w:val="28"/>
          <w:szCs w:val="28"/>
        </w:rPr>
        <w:t>（</w:t>
      </w:r>
      <w:r>
        <w:rPr>
          <w:rFonts w:hint="eastAsia" w:ascii="仿宋" w:hAnsi="仿宋" w:eastAsia="仿宋"/>
          <w:b/>
          <w:color w:val="000000"/>
          <w:spacing w:val="2"/>
          <w:sz w:val="28"/>
          <w:szCs w:val="28"/>
        </w:rPr>
        <w:t>三）国有资产占用情况说明</w:t>
      </w:r>
    </w:p>
    <w:p>
      <w:pPr>
        <w:spacing w:line="440" w:lineRule="exact"/>
        <w:ind w:firstLine="710" w:firstLineChars="250"/>
        <w:rPr>
          <w:rFonts w:hint="eastAsia" w:ascii="仿宋" w:hAnsi="仿宋" w:eastAsia="仿宋"/>
          <w:color w:val="000000"/>
          <w:spacing w:val="2"/>
          <w:sz w:val="28"/>
          <w:szCs w:val="28"/>
        </w:rPr>
      </w:pPr>
      <w:r>
        <w:rPr>
          <w:rFonts w:hint="eastAsia" w:ascii="仿宋" w:hAnsi="仿宋" w:eastAsia="仿宋"/>
          <w:color w:val="000000"/>
          <w:spacing w:val="2"/>
          <w:sz w:val="28"/>
          <w:szCs w:val="28"/>
        </w:rPr>
        <w:t>2017年年末，本单位没有公务用车，无车辆费用开支。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rPr>
        <w:t>第四部分</w:t>
      </w:r>
      <w:r>
        <w:rPr>
          <w:rStyle w:val="7"/>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bdr w:val="none" w:color="auto" w:sz="0" w:space="0"/>
          <w:shd w:val="clear" w:fill="FFFFFF"/>
        </w:rPr>
        <w:t>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一、财政补助收入：指县级财政当年拨付的资金。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二、其他收入：指除“财政拨款收入”、“上级补助收入”、“事业收入”、“经营收入”等以外的收入。主要是存款利息收入等。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三、年初结转和结余：指以前年度尚未完成、结转到本年按有关规定继续使用的资金。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四、一般公共服务（类）行政运行（项）：指县行政单位及参照公务员管理事业单位用于保障机构正常运行、开展日常工作的基本支出。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六、一般公共服务（类）机关服务（项）：指县</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服务中心为机关提供办公楼日常维修、维护等后勤保障服务的支出。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七、一般公共服务（类）其他一般公共服务支出（款）其他一般公共服务支出（项）：指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用于其他一般公共服务方面的支出。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八、教育（类）普通教育（款）高等教育（项）：指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厅支持地方高校的重点发展和特色办学，组织专家对省属院校申报的建设规划和项目预算进行评审等相关工作的支出。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九、社会保障和就业(类)行政事业单位离退休（款）归口管理的行政单位离退休（项）：指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用于离退休人员的支出、退休人员支出，以及提供管理服务工作的离退休干部处的支出。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十、社会保障和就业(类)行政事业单位离退休（款）其他行政事业单位离退休支出（项）：指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用于离退休方面的其他支出。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十一、医疗卫生与计划生育（类）医疗保障（款）行政单位医疗（项）：指</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黄石港区花湖街办</w:t>
      </w:r>
      <w:r>
        <w:rPr>
          <w:rFonts w:hint="eastAsia" w:ascii="微软雅黑" w:hAnsi="微软雅黑" w:eastAsia="微软雅黑" w:cs="微软雅黑"/>
          <w:b w:val="0"/>
          <w:i w:val="0"/>
          <w:caps w:val="0"/>
          <w:color w:val="333333"/>
          <w:spacing w:val="0"/>
          <w:sz w:val="24"/>
          <w:szCs w:val="24"/>
          <w:bdr w:val="none" w:color="auto" w:sz="0" w:space="0"/>
          <w:shd w:val="clear" w:fill="FFFFFF"/>
        </w:rPr>
        <w:t>用于机关干部职工及离退休人员医疗方面的支出。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十二、住房保障（类）住房改革支出（款）购房补贴（项）：指按照相关住房分配货币化改革的政策规定和标准，对无房和住房未达标职工发放的住房分配货币化补贴资金。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十三、年末结转和结余：指本年度或以前年度预算安排、因客观条件发生变化无法按原计划实施，需要延迟到以后年度按有关规定继续使用的资金。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十四、基本支出：指为保障机构正常运转、完成日常工作任务而发生的人员支出（包括基本工资、津贴补贴等）和公用支出（包括办公费、水电费、邮电费、交通费、差旅费等）。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十五、项目支出：指在基本支出之外为完成特定行政任务和事业发展目标所发生的支出。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十六、“三公”经费：是指用财政拨款安排的因公出国（境）费、公务用车购置及运行维护费、公务接待费。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587B"/>
    <w:rsid w:val="09FF39B4"/>
    <w:rsid w:val="11411182"/>
    <w:rsid w:val="255E033E"/>
    <w:rsid w:val="27390172"/>
    <w:rsid w:val="2CCE2491"/>
    <w:rsid w:val="621B3808"/>
    <w:rsid w:val="67E4782B"/>
    <w:rsid w:val="746766E2"/>
    <w:rsid w:val="78186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line="500" w:lineRule="exact"/>
      <w:ind w:firstLine="640" w:firstLineChars="200"/>
    </w:pPr>
    <w:rPr>
      <w:rFonts w:ascii="宋体"/>
      <w:sz w:val="32"/>
    </w:rPr>
  </w:style>
  <w:style w:type="paragraph" w:styleId="4">
    <w:name w:val="Plain Text"/>
    <w:basedOn w:val="1"/>
    <w:uiPriority w:val="0"/>
    <w:rPr>
      <w:rFonts w:ascii="宋体" w:hAnsi="Courier New" w:cs="Courier New"/>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正文缩进 + 首行缩进:  2 字符"/>
    <w:basedOn w:val="1"/>
    <w:uiPriority w:val="0"/>
    <w:pPr>
      <w:spacing w:line="560" w:lineRule="exact"/>
      <w:ind w:firstLine="640"/>
    </w:pPr>
    <w:rPr>
      <w:rFonts w:ascii="仿宋" w:hAnsi="仿宋" w:cs="宋体"/>
      <w:sz w:val="32"/>
      <w:szCs w:val="32"/>
    </w:rPr>
  </w:style>
  <w:style w:type="character" w:customStyle="1" w:styleId="10">
    <w:name w:val="ca-2"/>
    <w:basedOn w:val="6"/>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侒靜啲喧嘩</cp:lastModifiedBy>
  <dcterms:modified xsi:type="dcterms:W3CDTF">2019-02-27T09:17:25Z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