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F206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450" w:lineRule="atLeast"/>
        <w:ind w:left="0" w:right="0" w:firstLine="0"/>
        <w:jc w:val="center"/>
        <w:rPr>
          <w:rFonts w:ascii="微软雅黑" w:hAnsi="微软雅黑" w:eastAsia="微软雅黑" w:cs="微软雅黑"/>
          <w:b/>
          <w:i w:val="0"/>
          <w:caps w:val="0"/>
          <w:color w:val="BC1010"/>
          <w:spacing w:val="0"/>
          <w:sz w:val="40"/>
          <w:szCs w:val="40"/>
        </w:rPr>
      </w:pPr>
      <w:bookmarkStart w:id="0" w:name="_GoBack"/>
      <w:r>
        <w:rPr>
          <w:rFonts w:hint="eastAsia" w:ascii="微软雅黑" w:hAnsi="微软雅黑" w:eastAsia="微软雅黑" w:cs="微软雅黑"/>
          <w:b/>
          <w:i w:val="0"/>
          <w:caps w:val="0"/>
          <w:color w:val="BC1010"/>
          <w:spacing w:val="0"/>
          <w:sz w:val="40"/>
          <w:szCs w:val="40"/>
          <w:shd w:val="clear" w:fill="FFFFFF"/>
          <w:lang w:eastAsia="zh-CN"/>
        </w:rPr>
        <w:t>花湖街办</w:t>
      </w:r>
      <w:r>
        <w:rPr>
          <w:rFonts w:hint="eastAsia" w:ascii="微软雅黑" w:hAnsi="微软雅黑" w:eastAsia="微软雅黑" w:cs="微软雅黑"/>
          <w:b/>
          <w:i w:val="0"/>
          <w:caps w:val="0"/>
          <w:color w:val="BC1010"/>
          <w:spacing w:val="0"/>
          <w:sz w:val="40"/>
          <w:szCs w:val="40"/>
          <w:shd w:val="clear" w:fill="FFFFFF"/>
        </w:rPr>
        <w:t>201</w:t>
      </w:r>
      <w:r>
        <w:rPr>
          <w:rFonts w:hint="eastAsia" w:ascii="微软雅黑" w:hAnsi="微软雅黑" w:eastAsia="微软雅黑" w:cs="微软雅黑"/>
          <w:b/>
          <w:i w:val="0"/>
          <w:caps w:val="0"/>
          <w:color w:val="BC1010"/>
          <w:spacing w:val="0"/>
          <w:sz w:val="40"/>
          <w:szCs w:val="40"/>
          <w:shd w:val="clear" w:fill="FFFFFF"/>
          <w:lang w:val="en-US" w:eastAsia="zh-CN"/>
        </w:rPr>
        <w:t>8</w:t>
      </w:r>
      <w:r>
        <w:rPr>
          <w:rFonts w:hint="eastAsia" w:ascii="微软雅黑" w:hAnsi="微软雅黑" w:eastAsia="微软雅黑" w:cs="微软雅黑"/>
          <w:b/>
          <w:i w:val="0"/>
          <w:caps w:val="0"/>
          <w:color w:val="BC1010"/>
          <w:spacing w:val="0"/>
          <w:sz w:val="40"/>
          <w:szCs w:val="40"/>
          <w:shd w:val="clear" w:fill="FFFFFF"/>
        </w:rPr>
        <w:t>年决算公开</w:t>
      </w:r>
    </w:p>
    <w:bookmarkEnd w:id="0"/>
    <w:p w14:paraId="1A9F264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color w:val="333333"/>
          <w:sz w:val="24"/>
          <w:szCs w:val="24"/>
        </w:rPr>
      </w:pPr>
      <w:r>
        <w:rPr>
          <w:rStyle w:val="8"/>
          <w:rFonts w:hint="eastAsia" w:ascii="微软雅黑" w:hAnsi="微软雅黑" w:eastAsia="微软雅黑" w:cs="微软雅黑"/>
          <w:i w:val="0"/>
          <w:caps w:val="0"/>
          <w:color w:val="333333"/>
          <w:spacing w:val="0"/>
          <w:sz w:val="24"/>
          <w:szCs w:val="24"/>
          <w:shd w:val="clear" w:fill="FFFFFF"/>
          <w:lang w:eastAsia="zh-CN"/>
        </w:rPr>
        <w:t>黄石港区花湖街办</w:t>
      </w:r>
      <w:r>
        <w:rPr>
          <w:rStyle w:val="8"/>
          <w:rFonts w:hint="eastAsia" w:ascii="微软雅黑" w:hAnsi="微软雅黑" w:eastAsia="微软雅黑" w:cs="微软雅黑"/>
          <w:i w:val="0"/>
          <w:caps w:val="0"/>
          <w:color w:val="333333"/>
          <w:spacing w:val="0"/>
          <w:sz w:val="24"/>
          <w:szCs w:val="24"/>
          <w:shd w:val="clear" w:fill="FFFFFF"/>
        </w:rPr>
        <w:t>201</w:t>
      </w:r>
      <w:r>
        <w:rPr>
          <w:rStyle w:val="8"/>
          <w:rFonts w:hint="eastAsia" w:ascii="微软雅黑" w:hAnsi="微软雅黑" w:eastAsia="微软雅黑" w:cs="微软雅黑"/>
          <w:i w:val="0"/>
          <w:caps w:val="0"/>
          <w:color w:val="333333"/>
          <w:spacing w:val="0"/>
          <w:sz w:val="24"/>
          <w:szCs w:val="24"/>
          <w:shd w:val="clear" w:fill="FFFFFF"/>
          <w:lang w:val="en-US" w:eastAsia="zh-CN"/>
        </w:rPr>
        <w:t>8</w:t>
      </w:r>
      <w:r>
        <w:rPr>
          <w:rStyle w:val="8"/>
          <w:rFonts w:hint="eastAsia" w:ascii="微软雅黑" w:hAnsi="微软雅黑" w:eastAsia="微软雅黑" w:cs="微软雅黑"/>
          <w:i w:val="0"/>
          <w:caps w:val="0"/>
          <w:color w:val="333333"/>
          <w:spacing w:val="0"/>
          <w:sz w:val="24"/>
          <w:szCs w:val="24"/>
          <w:shd w:val="clear" w:fill="FFFFFF"/>
        </w:rPr>
        <w:t>年决算公开</w:t>
      </w:r>
    </w:p>
    <w:p w14:paraId="430DAA0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目  录</w:t>
      </w:r>
    </w:p>
    <w:p w14:paraId="53FEF75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第一部分</w:t>
      </w:r>
      <w:r>
        <w:rPr>
          <w:rFonts w:hint="eastAsia" w:ascii="微软雅黑" w:hAnsi="微软雅黑" w:eastAsia="微软雅黑" w:cs="微软雅黑"/>
          <w:b w:val="0"/>
          <w:i w:val="0"/>
          <w:caps w:val="0"/>
          <w:color w:val="333333"/>
          <w:spacing w:val="0"/>
          <w:sz w:val="24"/>
          <w:szCs w:val="24"/>
          <w:shd w:val="clear" w:fill="FFFFFF"/>
          <w:lang w:eastAsia="zh-CN"/>
        </w:rPr>
        <w:t>：</w:t>
      </w:r>
      <w:r>
        <w:rPr>
          <w:rFonts w:hint="eastAsia" w:ascii="微软雅黑" w:hAnsi="微软雅黑" w:eastAsia="微软雅黑" w:cs="微软雅黑"/>
          <w:b w:val="0"/>
          <w:i w:val="0"/>
          <w:caps w:val="0"/>
          <w:color w:val="333333"/>
          <w:spacing w:val="0"/>
          <w:sz w:val="24"/>
          <w:szCs w:val="24"/>
          <w:shd w:val="clear" w:fill="FFFFFF"/>
        </w:rPr>
        <w:t>部门基本情况</w:t>
      </w:r>
    </w:p>
    <w:p w14:paraId="0C1E57A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一、部门主要职责</w:t>
      </w:r>
    </w:p>
    <w:p w14:paraId="72ECE26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二、部门决算单位构成</w:t>
      </w:r>
    </w:p>
    <w:p w14:paraId="25E8430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第二部分</w:t>
      </w:r>
      <w:r>
        <w:rPr>
          <w:rFonts w:hint="eastAsia" w:ascii="微软雅黑" w:hAnsi="微软雅黑" w:eastAsia="微软雅黑" w:cs="微软雅黑"/>
          <w:b w:val="0"/>
          <w:i w:val="0"/>
          <w:caps w:val="0"/>
          <w:color w:val="333333"/>
          <w:spacing w:val="0"/>
          <w:sz w:val="24"/>
          <w:szCs w:val="24"/>
          <w:shd w:val="clear" w:fill="FFFFFF"/>
          <w:lang w:eastAsia="zh-CN"/>
        </w:rPr>
        <w:t>：</w:t>
      </w:r>
      <w:r>
        <w:rPr>
          <w:rFonts w:hint="eastAsia" w:ascii="微软雅黑" w:hAnsi="微软雅黑" w:eastAsia="微软雅黑" w:cs="微软雅黑"/>
          <w:b w:val="0"/>
          <w:i w:val="0"/>
          <w:caps w:val="0"/>
          <w:color w:val="333333"/>
          <w:spacing w:val="0"/>
          <w:sz w:val="24"/>
          <w:szCs w:val="24"/>
          <w:shd w:val="clear" w:fill="FFFFFF"/>
        </w:rPr>
        <w:t>部门201</w:t>
      </w:r>
      <w:r>
        <w:rPr>
          <w:rFonts w:hint="eastAsia" w:ascii="微软雅黑" w:hAnsi="微软雅黑" w:eastAsia="微软雅黑" w:cs="微软雅黑"/>
          <w:b w:val="0"/>
          <w:i w:val="0"/>
          <w:caps w:val="0"/>
          <w:color w:val="333333"/>
          <w:spacing w:val="0"/>
          <w:sz w:val="24"/>
          <w:szCs w:val="24"/>
          <w:shd w:val="clear" w:fill="FFFFFF"/>
          <w:lang w:val="en-US" w:eastAsia="zh-CN"/>
        </w:rPr>
        <w:t>8</w:t>
      </w:r>
      <w:r>
        <w:rPr>
          <w:rFonts w:hint="eastAsia" w:ascii="微软雅黑" w:hAnsi="微软雅黑" w:eastAsia="微软雅黑" w:cs="微软雅黑"/>
          <w:b w:val="0"/>
          <w:i w:val="0"/>
          <w:caps w:val="0"/>
          <w:color w:val="333333"/>
          <w:spacing w:val="0"/>
          <w:sz w:val="24"/>
          <w:szCs w:val="24"/>
          <w:shd w:val="clear" w:fill="FFFFFF"/>
        </w:rPr>
        <w:t>年部门决算表</w:t>
      </w:r>
    </w:p>
    <w:p w14:paraId="185B921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一、收入支出决算总表（表1）</w:t>
      </w:r>
    </w:p>
    <w:p w14:paraId="52DB5E6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二、收入决算表（表2）</w:t>
      </w:r>
    </w:p>
    <w:p w14:paraId="4B460B6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三、支出决算表（表3）</w:t>
      </w:r>
    </w:p>
    <w:p w14:paraId="0DFFAEA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四、财政拨款收入支出决算总表（表4）</w:t>
      </w:r>
    </w:p>
    <w:p w14:paraId="23CD90A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五、一般公共预算财政拨款支出决算表（表5）</w:t>
      </w:r>
    </w:p>
    <w:p w14:paraId="5DA6F22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六、一般公共预算财政拨款基本支出决算表（表6）</w:t>
      </w:r>
    </w:p>
    <w:p w14:paraId="3218781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七、一般公共预算财政拨款“三公”经费支出决算表（表7）</w:t>
      </w:r>
    </w:p>
    <w:p w14:paraId="31F2504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八、政府性基金预算财政拨款收入支出决算表（8）</w:t>
      </w:r>
    </w:p>
    <w:p w14:paraId="7E3C8C0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第三部分：部门201</w:t>
      </w:r>
      <w:r>
        <w:rPr>
          <w:rFonts w:hint="eastAsia" w:ascii="微软雅黑" w:hAnsi="微软雅黑" w:eastAsia="微软雅黑" w:cs="微软雅黑"/>
          <w:b w:val="0"/>
          <w:i w:val="0"/>
          <w:caps w:val="0"/>
          <w:color w:val="333333"/>
          <w:spacing w:val="0"/>
          <w:sz w:val="24"/>
          <w:szCs w:val="24"/>
          <w:shd w:val="clear" w:fill="FFFFFF"/>
          <w:lang w:val="en-US" w:eastAsia="zh-CN"/>
        </w:rPr>
        <w:t>8</w:t>
      </w:r>
      <w:r>
        <w:rPr>
          <w:rFonts w:hint="eastAsia" w:ascii="微软雅黑" w:hAnsi="微软雅黑" w:eastAsia="微软雅黑" w:cs="微软雅黑"/>
          <w:b w:val="0"/>
          <w:i w:val="0"/>
          <w:caps w:val="0"/>
          <w:color w:val="333333"/>
          <w:spacing w:val="0"/>
          <w:sz w:val="24"/>
          <w:szCs w:val="24"/>
          <w:shd w:val="clear" w:fill="FFFFFF"/>
        </w:rPr>
        <w:t>年部门决算情况说明</w:t>
      </w:r>
    </w:p>
    <w:p w14:paraId="389D2E5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fill="FFFFFF"/>
        </w:rPr>
      </w:pPr>
      <w:r>
        <w:rPr>
          <w:rFonts w:hint="eastAsia" w:ascii="微软雅黑" w:hAnsi="微软雅黑" w:eastAsia="微软雅黑" w:cs="微软雅黑"/>
          <w:b w:val="0"/>
          <w:i w:val="0"/>
          <w:caps w:val="0"/>
          <w:color w:val="333333"/>
          <w:spacing w:val="0"/>
          <w:sz w:val="24"/>
          <w:szCs w:val="24"/>
          <w:shd w:val="clear" w:fill="FFFFFF"/>
          <w:lang w:eastAsia="zh-CN"/>
        </w:rPr>
        <w:t>一、</w:t>
      </w:r>
      <w:r>
        <w:rPr>
          <w:rFonts w:hint="eastAsia" w:ascii="微软雅黑" w:hAnsi="微软雅黑" w:eastAsia="微软雅黑" w:cs="微软雅黑"/>
          <w:b w:val="0"/>
          <w:i w:val="0"/>
          <w:caps w:val="0"/>
          <w:color w:val="333333"/>
          <w:spacing w:val="0"/>
          <w:sz w:val="24"/>
          <w:szCs w:val="24"/>
          <w:shd w:val="clear" w:fill="FFFFFF"/>
        </w:rPr>
        <w:t>预算执行情况分析</w:t>
      </w:r>
    </w:p>
    <w:p w14:paraId="61E35E7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fill="FFFFFF"/>
        </w:rPr>
      </w:pPr>
      <w:r>
        <w:rPr>
          <w:rFonts w:hint="eastAsia" w:ascii="微软雅黑" w:hAnsi="微软雅黑" w:eastAsia="微软雅黑" w:cs="微软雅黑"/>
          <w:b w:val="0"/>
          <w:i w:val="0"/>
          <w:caps w:val="0"/>
          <w:color w:val="333333"/>
          <w:spacing w:val="0"/>
          <w:sz w:val="24"/>
          <w:szCs w:val="24"/>
          <w:shd w:val="clear" w:fill="FFFFFF"/>
          <w:lang w:eastAsia="zh-CN"/>
        </w:rPr>
        <w:t>二、</w:t>
      </w:r>
      <w:r>
        <w:rPr>
          <w:rFonts w:hint="eastAsia" w:ascii="微软雅黑" w:hAnsi="微软雅黑" w:eastAsia="微软雅黑" w:cs="微软雅黑"/>
          <w:b w:val="0"/>
          <w:i w:val="0"/>
          <w:caps w:val="0"/>
          <w:color w:val="333333"/>
          <w:spacing w:val="0"/>
          <w:sz w:val="24"/>
          <w:szCs w:val="24"/>
          <w:shd w:val="clear" w:fill="FFFFFF"/>
        </w:rPr>
        <w:t>关于“三公”经费支出说明</w:t>
      </w:r>
    </w:p>
    <w:p w14:paraId="451DAAA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fill="FFFFFF"/>
        </w:rPr>
      </w:pPr>
      <w:r>
        <w:rPr>
          <w:rFonts w:hint="eastAsia" w:ascii="微软雅黑" w:hAnsi="微软雅黑" w:eastAsia="微软雅黑" w:cs="微软雅黑"/>
          <w:b w:val="0"/>
          <w:i w:val="0"/>
          <w:caps w:val="0"/>
          <w:color w:val="333333"/>
          <w:spacing w:val="0"/>
          <w:sz w:val="24"/>
          <w:szCs w:val="24"/>
          <w:shd w:val="clear" w:fill="FFFFFF"/>
          <w:lang w:eastAsia="zh-CN"/>
        </w:rPr>
        <w:t>三、</w:t>
      </w:r>
      <w:r>
        <w:rPr>
          <w:rFonts w:hint="eastAsia" w:ascii="微软雅黑" w:hAnsi="微软雅黑" w:eastAsia="微软雅黑" w:cs="微软雅黑"/>
          <w:b w:val="0"/>
          <w:i w:val="0"/>
          <w:caps w:val="0"/>
          <w:color w:val="333333"/>
          <w:spacing w:val="0"/>
          <w:sz w:val="24"/>
          <w:szCs w:val="24"/>
          <w:shd w:val="clear" w:fill="FFFFFF"/>
        </w:rPr>
        <w:t>关于机关运行经费支出说明</w:t>
      </w:r>
    </w:p>
    <w:p w14:paraId="4DFFAA0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fill="FFFFFF"/>
        </w:rPr>
      </w:pPr>
      <w:r>
        <w:rPr>
          <w:rFonts w:hint="eastAsia" w:ascii="微软雅黑" w:hAnsi="微软雅黑" w:eastAsia="微软雅黑" w:cs="微软雅黑"/>
          <w:b w:val="0"/>
          <w:i w:val="0"/>
          <w:caps w:val="0"/>
          <w:color w:val="333333"/>
          <w:spacing w:val="0"/>
          <w:sz w:val="24"/>
          <w:szCs w:val="24"/>
          <w:shd w:val="clear" w:fill="FFFFFF"/>
        </w:rPr>
        <w:t>四</w:t>
      </w:r>
      <w:r>
        <w:rPr>
          <w:rFonts w:hint="eastAsia" w:ascii="微软雅黑" w:hAnsi="微软雅黑" w:eastAsia="微软雅黑" w:cs="微软雅黑"/>
          <w:b w:val="0"/>
          <w:i w:val="0"/>
          <w:caps w:val="0"/>
          <w:color w:val="333333"/>
          <w:spacing w:val="0"/>
          <w:sz w:val="24"/>
          <w:szCs w:val="24"/>
          <w:shd w:val="clear" w:fill="FFFFFF"/>
          <w:lang w:eastAsia="zh-CN"/>
        </w:rPr>
        <w:t>、</w:t>
      </w:r>
      <w:r>
        <w:rPr>
          <w:rFonts w:hint="eastAsia" w:ascii="微软雅黑" w:hAnsi="微软雅黑" w:eastAsia="微软雅黑" w:cs="微软雅黑"/>
          <w:b w:val="0"/>
          <w:i w:val="0"/>
          <w:caps w:val="0"/>
          <w:color w:val="333333"/>
          <w:spacing w:val="0"/>
          <w:sz w:val="24"/>
          <w:szCs w:val="24"/>
          <w:shd w:val="clear" w:fill="FFFFFF"/>
        </w:rPr>
        <w:t>关于政府采购支出说明</w:t>
      </w:r>
    </w:p>
    <w:p w14:paraId="1BDBD13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fill="FFFFFF"/>
        </w:rPr>
      </w:pPr>
      <w:r>
        <w:rPr>
          <w:rFonts w:hint="eastAsia" w:ascii="微软雅黑" w:hAnsi="微软雅黑" w:eastAsia="微软雅黑" w:cs="微软雅黑"/>
          <w:b w:val="0"/>
          <w:i w:val="0"/>
          <w:caps w:val="0"/>
          <w:color w:val="333333"/>
          <w:spacing w:val="0"/>
          <w:sz w:val="24"/>
          <w:szCs w:val="24"/>
          <w:shd w:val="clear" w:fill="FFFFFF"/>
        </w:rPr>
        <w:t>五</w:t>
      </w:r>
      <w:r>
        <w:rPr>
          <w:rFonts w:hint="eastAsia" w:ascii="微软雅黑" w:hAnsi="微软雅黑" w:eastAsia="微软雅黑" w:cs="微软雅黑"/>
          <w:b w:val="0"/>
          <w:i w:val="0"/>
          <w:caps w:val="0"/>
          <w:color w:val="333333"/>
          <w:spacing w:val="0"/>
          <w:sz w:val="24"/>
          <w:szCs w:val="24"/>
          <w:shd w:val="clear" w:fill="FFFFFF"/>
          <w:lang w:eastAsia="zh-CN"/>
        </w:rPr>
        <w:t>、</w:t>
      </w:r>
      <w:r>
        <w:rPr>
          <w:rFonts w:hint="eastAsia" w:ascii="微软雅黑" w:hAnsi="微软雅黑" w:eastAsia="微软雅黑" w:cs="微软雅黑"/>
          <w:b w:val="0"/>
          <w:i w:val="0"/>
          <w:caps w:val="0"/>
          <w:color w:val="333333"/>
          <w:spacing w:val="0"/>
          <w:sz w:val="24"/>
          <w:szCs w:val="24"/>
          <w:shd w:val="clear" w:fill="FFFFFF"/>
        </w:rPr>
        <w:t>关于国有资产占用情况说明</w:t>
      </w:r>
    </w:p>
    <w:p w14:paraId="5598F74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第四部分：名词解释 </w:t>
      </w:r>
    </w:p>
    <w:p w14:paraId="47201F8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rStyle w:val="8"/>
          <w:rFonts w:hint="eastAsia" w:ascii="微软雅黑" w:hAnsi="微软雅黑" w:eastAsia="微软雅黑" w:cs="微软雅黑"/>
          <w:i w:val="0"/>
          <w:caps w:val="0"/>
          <w:color w:val="333333"/>
          <w:spacing w:val="0"/>
          <w:sz w:val="24"/>
          <w:szCs w:val="24"/>
          <w:shd w:val="clear" w:fill="FFFFFF"/>
        </w:rPr>
      </w:pPr>
    </w:p>
    <w:p w14:paraId="5F8D554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color w:val="333333"/>
          <w:sz w:val="24"/>
          <w:szCs w:val="24"/>
        </w:rPr>
      </w:pPr>
      <w:r>
        <w:rPr>
          <w:rStyle w:val="8"/>
          <w:rFonts w:hint="eastAsia" w:ascii="微软雅黑" w:hAnsi="微软雅黑" w:eastAsia="微软雅黑" w:cs="微软雅黑"/>
          <w:i w:val="0"/>
          <w:caps w:val="0"/>
          <w:color w:val="333333"/>
          <w:spacing w:val="0"/>
          <w:sz w:val="24"/>
          <w:szCs w:val="24"/>
          <w:shd w:val="clear" w:fill="FFFFFF"/>
        </w:rPr>
        <w:t>201</w:t>
      </w:r>
      <w:r>
        <w:rPr>
          <w:rStyle w:val="8"/>
          <w:rFonts w:hint="eastAsia" w:ascii="微软雅黑" w:hAnsi="微软雅黑" w:eastAsia="微软雅黑" w:cs="微软雅黑"/>
          <w:i w:val="0"/>
          <w:caps w:val="0"/>
          <w:color w:val="333333"/>
          <w:spacing w:val="0"/>
          <w:sz w:val="24"/>
          <w:szCs w:val="24"/>
          <w:shd w:val="clear" w:fill="FFFFFF"/>
          <w:lang w:val="en-US" w:eastAsia="zh-CN"/>
        </w:rPr>
        <w:t>8</w:t>
      </w:r>
      <w:r>
        <w:rPr>
          <w:rStyle w:val="8"/>
          <w:rFonts w:hint="eastAsia" w:ascii="微软雅黑" w:hAnsi="微软雅黑" w:eastAsia="微软雅黑" w:cs="微软雅黑"/>
          <w:i w:val="0"/>
          <w:caps w:val="0"/>
          <w:color w:val="333333"/>
          <w:spacing w:val="0"/>
          <w:sz w:val="24"/>
          <w:szCs w:val="24"/>
          <w:shd w:val="clear" w:fill="FFFFFF"/>
        </w:rPr>
        <w:t>年部门决算</w:t>
      </w:r>
    </w:p>
    <w:p w14:paraId="085417B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Style w:val="8"/>
          <w:rFonts w:hint="eastAsia" w:ascii="微软雅黑" w:hAnsi="微软雅黑" w:eastAsia="微软雅黑" w:cs="微软雅黑"/>
          <w:i w:val="0"/>
          <w:caps w:val="0"/>
          <w:color w:val="333333"/>
          <w:spacing w:val="0"/>
          <w:sz w:val="24"/>
          <w:szCs w:val="24"/>
          <w:shd w:val="clear" w:fill="FFFFFF"/>
          <w:lang w:eastAsia="zh-CN"/>
        </w:rPr>
        <w:t>第一部分</w:t>
      </w:r>
      <w:r>
        <w:rPr>
          <w:rStyle w:val="8"/>
          <w:rFonts w:hint="eastAsia" w:ascii="微软雅黑" w:hAnsi="微软雅黑" w:eastAsia="微软雅黑" w:cs="微软雅黑"/>
          <w:i w:val="0"/>
          <w:caps w:val="0"/>
          <w:color w:val="333333"/>
          <w:spacing w:val="0"/>
          <w:sz w:val="24"/>
          <w:szCs w:val="24"/>
          <w:shd w:val="clear" w:fill="FFFFFF"/>
          <w:lang w:val="en-US" w:eastAsia="zh-CN"/>
        </w:rPr>
        <w:t xml:space="preserve"> </w:t>
      </w:r>
      <w:r>
        <w:rPr>
          <w:rStyle w:val="8"/>
          <w:rFonts w:hint="eastAsia" w:ascii="微软雅黑" w:hAnsi="微软雅黑" w:eastAsia="微软雅黑" w:cs="微软雅黑"/>
          <w:i w:val="0"/>
          <w:caps w:val="0"/>
          <w:color w:val="333333"/>
          <w:spacing w:val="0"/>
          <w:sz w:val="24"/>
          <w:szCs w:val="24"/>
          <w:shd w:val="clear" w:fill="FFFFFF"/>
        </w:rPr>
        <w:t>部门概况</w:t>
      </w:r>
    </w:p>
    <w:p w14:paraId="3BC1C798">
      <w:pPr>
        <w:widowControl/>
        <w:shd w:val="clear" w:color="auto" w:fill="FFFFFF"/>
        <w:ind w:firstLine="480"/>
        <w:jc w:val="left"/>
        <w:rPr>
          <w:rFonts w:hint="eastAsia" w:ascii="宋体" w:hAnsi="宋体" w:cs="宋体"/>
          <w:color w:val="333333"/>
          <w:kern w:val="0"/>
          <w:sz w:val="28"/>
          <w:szCs w:val="28"/>
        </w:rPr>
      </w:pPr>
      <w:r>
        <w:rPr>
          <w:rFonts w:hint="eastAsia" w:asciiTheme="minorEastAsia" w:hAnsiTheme="minorEastAsia" w:eastAsiaTheme="minorEastAsia" w:cstheme="minorEastAsia"/>
          <w:color w:val="333333"/>
          <w:kern w:val="0"/>
          <w:sz w:val="28"/>
          <w:szCs w:val="28"/>
        </w:rPr>
        <w:t>花湖街道办事处位于黄石市西北角，与鄂州市接壤，紧邻长江黄金水道，沪蓉高速公路、大泉路、湖滨大道等国道、省道、市区干道穿区而过，是鄂东南重要的快速通道和黄石的主要进出口。街道管辖面积8.22平方公里，常住人口5.1万人。辖大码头、锁前、老虎头、花湖、天虹、天方6个居民委员会，其中大码头和锁前为“村改居”社区。围绕打造“四个中心”、建设现代化幸福城区目标，以党建工作为抓手，坚持全面从严治党，推进重点项目建设，推动征地拆迁工作，化解信访积案，发展社会事业，加强自身建设，较好完成全年各项任务。</w:t>
      </w:r>
    </w:p>
    <w:p w14:paraId="541BC173">
      <w:pPr>
        <w:widowControl/>
        <w:shd w:val="clear" w:color="auto" w:fill="FFFFFF"/>
        <w:ind w:firstLine="480"/>
        <w:jc w:val="left"/>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color w:val="333333"/>
          <w:kern w:val="0"/>
          <w:sz w:val="28"/>
          <w:szCs w:val="28"/>
          <w:lang w:eastAsia="zh-CN"/>
        </w:rPr>
        <w:t>（一）</w:t>
      </w:r>
      <w:r>
        <w:rPr>
          <w:rFonts w:hint="eastAsia" w:asciiTheme="minorEastAsia" w:hAnsiTheme="minorEastAsia" w:eastAsiaTheme="minorEastAsia" w:cstheme="minorEastAsia"/>
          <w:color w:val="333333"/>
          <w:kern w:val="0"/>
          <w:sz w:val="28"/>
          <w:szCs w:val="28"/>
        </w:rPr>
        <w:t>主要职能</w:t>
      </w:r>
    </w:p>
    <w:p w14:paraId="31DE51EC">
      <w:pPr>
        <w:widowControl/>
        <w:shd w:val="clear" w:color="auto" w:fill="FFFFFF"/>
        <w:ind w:firstLine="480"/>
        <w:jc w:val="left"/>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color w:val="333333"/>
          <w:kern w:val="0"/>
          <w:sz w:val="28"/>
          <w:szCs w:val="28"/>
        </w:rPr>
        <w:t>花湖街道办事处</w:t>
      </w:r>
      <w:r>
        <w:rPr>
          <w:rFonts w:hint="eastAsia" w:asciiTheme="minorEastAsia" w:hAnsiTheme="minorEastAsia" w:eastAsiaTheme="minorEastAsia" w:cstheme="minorEastAsia"/>
          <w:color w:val="333333"/>
          <w:kern w:val="0"/>
          <w:sz w:val="28"/>
          <w:szCs w:val="28"/>
          <w:lang w:eastAsia="zh-CN"/>
        </w:rPr>
        <w:t>主要负责</w:t>
      </w:r>
      <w:r>
        <w:rPr>
          <w:rFonts w:hint="eastAsia" w:asciiTheme="minorEastAsia" w:hAnsiTheme="minorEastAsia" w:eastAsiaTheme="minorEastAsia" w:cstheme="minorEastAsia"/>
          <w:color w:val="333333"/>
          <w:kern w:val="0"/>
          <w:sz w:val="28"/>
          <w:szCs w:val="28"/>
        </w:rPr>
        <w:t>宣传、执行党的路线、方针、政策和国家法律、法规、保证市、区政府决议、决定的落实，对居民进行思想政治教育和社会主义法制教育。组织领导街道区域经济工作，制定街道经济发展规划，检查、督促各经济组织开展工作，负责街道财政预算和收支管理，进行财务审计和有关项目统计。制定社会治安综合治理规划并组织实施，加强外来人口管理，开展民事调解，保护老人、儿童、妇女、残疾人和青少年的合法权益，保障辖区内政治稳定和社会安定。开展群众文化、科普、体育、校外教育及卫生保健工作，建设社会主义精神文明。开展爱国卫生、计划生育、市容卫生、环境保护、绿化美化工作。开展社会救济、社区服务、离退休人员管理、拥军优属、征集兵员以及殡葬管理工作，兴办社会福利事业，发展社会福利生产。指导居民委员会工作，促进居民委员会建设，提高居民委员会自治能力，发挥居民委员会作用。参与城市建设、危房改造及住宅小区的管理工作。协助有关部门搞好劳动力资源开发、配置、管理、监督及劳动保险的政策贯彻和社会化管理工作。配合有关部门做好防空、防汛、防水、防震、交通管理、抢险救灾工作。向区人民政府反映居民群众的意见和要求，办理人民群众来信来访事项，做好为居民群众服务工作。</w:t>
      </w:r>
    </w:p>
    <w:p w14:paraId="722301AF">
      <w:pPr>
        <w:widowControl/>
        <w:shd w:val="clear" w:color="auto" w:fill="FFFFFF"/>
        <w:ind w:firstLine="480"/>
        <w:jc w:val="left"/>
        <w:rPr>
          <w:rFonts w:hint="eastAsia" w:asciiTheme="minorEastAsia" w:hAnsiTheme="minorEastAsia" w:eastAsiaTheme="minorEastAsia" w:cstheme="minorEastAsia"/>
          <w:color w:val="333333"/>
          <w:kern w:val="0"/>
          <w:sz w:val="28"/>
          <w:szCs w:val="28"/>
        </w:rPr>
      </w:pPr>
      <w:r>
        <w:rPr>
          <w:rFonts w:hint="eastAsia" w:asciiTheme="minorEastAsia" w:hAnsiTheme="minorEastAsia" w:cstheme="minorEastAsia"/>
          <w:color w:val="333333"/>
          <w:kern w:val="0"/>
          <w:sz w:val="28"/>
          <w:szCs w:val="28"/>
          <w:lang w:eastAsia="zh-CN"/>
        </w:rPr>
        <w:t>（二）</w:t>
      </w:r>
      <w:r>
        <w:rPr>
          <w:rFonts w:hint="eastAsia" w:asciiTheme="minorEastAsia" w:hAnsiTheme="minorEastAsia" w:eastAsiaTheme="minorEastAsia" w:cstheme="minorEastAsia"/>
          <w:color w:val="333333"/>
          <w:kern w:val="0"/>
          <w:sz w:val="28"/>
          <w:szCs w:val="28"/>
        </w:rPr>
        <w:t>机构情况</w:t>
      </w:r>
    </w:p>
    <w:p w14:paraId="66FBE96B">
      <w:pPr>
        <w:widowControl/>
        <w:shd w:val="clear" w:color="auto" w:fill="FFFFFF"/>
        <w:ind w:firstLine="480"/>
        <w:jc w:val="left"/>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color w:val="333333"/>
          <w:kern w:val="0"/>
          <w:sz w:val="28"/>
          <w:szCs w:val="28"/>
        </w:rPr>
        <w:t xml:space="preserve"> 辖大码头、锁前、老虎头、花湖、天虹、天方6个居民委员会，其中，大码头和锁前为“村改居”社区。辖区有市公安局、市地税局、市质量技术监督局等机关事业单位14家，有东方装饰城、科威自控有限公司、鑫大地物流等规模以上企业51家，有装饰材料市场、家居市场、木材市场、农副产品批发市场、钢材交易市场、汽车销售市场和物流中心等商贸企业500余家。</w:t>
      </w:r>
    </w:p>
    <w:p w14:paraId="0B7CAAF3">
      <w:pPr>
        <w:widowControl/>
        <w:shd w:val="clear" w:color="auto" w:fill="FFFFFF"/>
        <w:ind w:firstLine="480"/>
        <w:jc w:val="left"/>
        <w:rPr>
          <w:rFonts w:hint="eastAsia" w:asciiTheme="minorEastAsia" w:hAnsiTheme="minorEastAsia" w:eastAsiaTheme="minorEastAsia" w:cstheme="minorEastAsia"/>
          <w:color w:val="333333"/>
          <w:kern w:val="0"/>
          <w:sz w:val="28"/>
          <w:szCs w:val="28"/>
        </w:rPr>
      </w:pPr>
      <w:r>
        <w:rPr>
          <w:rFonts w:hint="eastAsia" w:asciiTheme="minorEastAsia" w:hAnsiTheme="minorEastAsia" w:cstheme="minorEastAsia"/>
          <w:color w:val="333333"/>
          <w:kern w:val="0"/>
          <w:sz w:val="28"/>
          <w:szCs w:val="28"/>
          <w:lang w:eastAsia="zh-CN"/>
        </w:rPr>
        <w:t>（三）</w:t>
      </w:r>
      <w:r>
        <w:rPr>
          <w:rFonts w:hint="eastAsia" w:asciiTheme="minorEastAsia" w:hAnsiTheme="minorEastAsia" w:eastAsiaTheme="minorEastAsia" w:cstheme="minorEastAsia"/>
          <w:color w:val="333333"/>
          <w:kern w:val="0"/>
          <w:sz w:val="28"/>
          <w:szCs w:val="28"/>
        </w:rPr>
        <w:t>人员情况</w:t>
      </w:r>
    </w:p>
    <w:p w14:paraId="3DFCD8DE">
      <w:pPr>
        <w:widowControl/>
        <w:shd w:val="clear" w:color="auto" w:fill="FFFFFF"/>
        <w:ind w:firstLine="480"/>
        <w:jc w:val="left"/>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color w:val="333333"/>
          <w:kern w:val="0"/>
          <w:sz w:val="28"/>
          <w:szCs w:val="28"/>
        </w:rPr>
        <w:t>辖区有综治信访组织机构18个，专兼职干部43人，有6个警务室，专职安保队员29人，流动人口协管员6人，治安志愿者（楼栋长、“红袖章”“小喇叭”等）206人。与花湖派出所共建一支10人专业治安队伍，义务消防、森防人员62人，专兼职安监人员22人。每季度召开一次治安形势分析会，定期开展安保队员集中强化训练。督促45家辖区单位（包括宾馆、网吧、超市等），加强视频防控网建设。加强社区网格化管理工作，压实网格员责任。社区网格员组织居民群众参与创建全国文明城市、志愿者服务、平安创建、</w:t>
      </w:r>
      <w:r>
        <w:rPr>
          <w:rFonts w:hint="eastAsia" w:asciiTheme="minorEastAsia" w:hAnsiTheme="minorEastAsia" w:cstheme="minorEastAsia"/>
          <w:color w:val="333333"/>
          <w:kern w:val="0"/>
          <w:sz w:val="28"/>
          <w:szCs w:val="28"/>
          <w:lang w:eastAsia="zh-CN"/>
        </w:rPr>
        <w:t>扫黑除恶</w:t>
      </w:r>
      <w:r>
        <w:rPr>
          <w:rFonts w:hint="eastAsia" w:asciiTheme="minorEastAsia" w:hAnsiTheme="minorEastAsia" w:eastAsiaTheme="minorEastAsia" w:cstheme="minorEastAsia"/>
          <w:color w:val="333333"/>
          <w:kern w:val="0"/>
          <w:sz w:val="28"/>
          <w:szCs w:val="28"/>
        </w:rPr>
        <w:t>等活动，以网格为单位发放《致居民一封信》、平安扇等宣传品3万余份，悬挂宣传横幅40余条，张贴宣传海报1万余张，利用小喇叭、临街电子显示屏、宣传橱窗等，开展宣传活动。发挥网格化管理在服务群众、改善民生、维护稳定上的积极作用。</w:t>
      </w:r>
    </w:p>
    <w:p w14:paraId="02EF840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Style w:val="8"/>
          <w:rFonts w:hint="eastAsia" w:ascii="微软雅黑" w:hAnsi="微软雅黑" w:eastAsia="微软雅黑" w:cs="微软雅黑"/>
          <w:i w:val="0"/>
          <w:caps w:val="0"/>
          <w:color w:val="333333"/>
          <w:spacing w:val="0"/>
          <w:sz w:val="24"/>
          <w:szCs w:val="24"/>
          <w:shd w:val="clear" w:fill="FFFFFF"/>
          <w:lang w:eastAsia="zh-CN"/>
        </w:rPr>
      </w:pPr>
    </w:p>
    <w:p w14:paraId="2C75D4C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Style w:val="8"/>
          <w:rFonts w:hint="eastAsia" w:ascii="微软雅黑" w:hAnsi="微软雅黑" w:eastAsia="微软雅黑" w:cs="微软雅黑"/>
          <w:i w:val="0"/>
          <w:caps w:val="0"/>
          <w:color w:val="333333"/>
          <w:spacing w:val="0"/>
          <w:sz w:val="24"/>
          <w:szCs w:val="24"/>
          <w:shd w:val="clear" w:fill="FFFFFF"/>
          <w:lang w:eastAsia="zh-CN"/>
        </w:rPr>
      </w:pPr>
    </w:p>
    <w:p w14:paraId="2ED4A95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Style w:val="8"/>
          <w:rFonts w:hint="eastAsia" w:ascii="微软雅黑" w:hAnsi="微软雅黑" w:eastAsia="微软雅黑" w:cs="微软雅黑"/>
          <w:i w:val="0"/>
          <w:caps w:val="0"/>
          <w:color w:val="333333"/>
          <w:spacing w:val="0"/>
          <w:sz w:val="24"/>
          <w:szCs w:val="24"/>
          <w:shd w:val="clear" w:fill="FFFFFF"/>
          <w:lang w:eastAsia="zh-CN"/>
        </w:rPr>
      </w:pPr>
    </w:p>
    <w:p w14:paraId="4464FFF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Style w:val="8"/>
          <w:rFonts w:hint="eastAsia" w:ascii="微软雅黑" w:hAnsi="微软雅黑" w:eastAsia="微软雅黑" w:cs="微软雅黑"/>
          <w:i w:val="0"/>
          <w:caps w:val="0"/>
          <w:color w:val="333333"/>
          <w:spacing w:val="0"/>
          <w:sz w:val="24"/>
          <w:szCs w:val="24"/>
          <w:shd w:val="clear" w:fill="FFFFFF"/>
          <w:lang w:eastAsia="zh-CN"/>
        </w:rPr>
      </w:pPr>
    </w:p>
    <w:p w14:paraId="4FBE0F76">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rightChars="0"/>
        <w:rPr>
          <w:sz w:val="21"/>
          <w:szCs w:val="21"/>
        </w:rPr>
        <w:sectPr>
          <w:pgSz w:w="16838" w:h="11906" w:orient="landscape"/>
          <w:pgMar w:top="1800" w:right="1440" w:bottom="1800" w:left="1440" w:header="851" w:footer="992" w:gutter="0"/>
          <w:cols w:space="425" w:num="1"/>
          <w:docGrid w:type="lines" w:linePitch="312" w:charSpace="0"/>
        </w:sectPr>
      </w:pPr>
      <w:r>
        <w:rPr>
          <w:rStyle w:val="8"/>
          <w:rFonts w:hint="eastAsia" w:ascii="微软雅黑" w:hAnsi="微软雅黑" w:eastAsia="微软雅黑" w:cs="微软雅黑"/>
          <w:i w:val="0"/>
          <w:caps w:val="0"/>
          <w:color w:val="333333"/>
          <w:spacing w:val="0"/>
          <w:sz w:val="24"/>
          <w:szCs w:val="24"/>
          <w:shd w:val="clear" w:fill="FFFFFF"/>
          <w:lang w:eastAsia="zh-CN"/>
        </w:rPr>
        <w:t>第二部分</w:t>
      </w:r>
      <w:r>
        <w:rPr>
          <w:rStyle w:val="8"/>
          <w:rFonts w:hint="eastAsia" w:ascii="微软雅黑" w:hAnsi="微软雅黑" w:eastAsia="微软雅黑" w:cs="微软雅黑"/>
          <w:i w:val="0"/>
          <w:caps w:val="0"/>
          <w:color w:val="333333"/>
          <w:spacing w:val="0"/>
          <w:sz w:val="24"/>
          <w:szCs w:val="24"/>
          <w:shd w:val="clear" w:fill="FFFFFF"/>
          <w:lang w:val="en-US" w:eastAsia="zh-CN"/>
        </w:rPr>
        <w:t xml:space="preserve"> 部门</w:t>
      </w:r>
      <w:r>
        <w:rPr>
          <w:rStyle w:val="8"/>
          <w:rFonts w:hint="eastAsia" w:ascii="微软雅黑" w:hAnsi="微软雅黑" w:eastAsia="微软雅黑" w:cs="微软雅黑"/>
          <w:i w:val="0"/>
          <w:caps w:val="0"/>
          <w:color w:val="333333"/>
          <w:spacing w:val="0"/>
          <w:sz w:val="24"/>
          <w:szCs w:val="24"/>
          <w:shd w:val="clear" w:fill="FFFFFF"/>
        </w:rPr>
        <w:t>201</w:t>
      </w:r>
      <w:r>
        <w:rPr>
          <w:rStyle w:val="8"/>
          <w:rFonts w:hint="eastAsia" w:ascii="微软雅黑" w:hAnsi="微软雅黑" w:eastAsia="微软雅黑" w:cs="微软雅黑"/>
          <w:i w:val="0"/>
          <w:caps w:val="0"/>
          <w:color w:val="333333"/>
          <w:spacing w:val="0"/>
          <w:sz w:val="24"/>
          <w:szCs w:val="24"/>
          <w:shd w:val="clear" w:fill="FFFFFF"/>
          <w:lang w:val="en-US" w:eastAsia="zh-CN"/>
        </w:rPr>
        <w:t>8</w:t>
      </w:r>
      <w:r>
        <w:rPr>
          <w:rStyle w:val="8"/>
          <w:rFonts w:hint="eastAsia" w:ascii="微软雅黑" w:hAnsi="微软雅黑" w:eastAsia="微软雅黑" w:cs="微软雅黑"/>
          <w:i w:val="0"/>
          <w:caps w:val="0"/>
          <w:color w:val="333333"/>
          <w:spacing w:val="0"/>
          <w:sz w:val="24"/>
          <w:szCs w:val="24"/>
          <w:shd w:val="clear" w:fill="FFFFFF"/>
        </w:rPr>
        <w:t>年部门决算</w:t>
      </w:r>
      <w:r>
        <w:rPr>
          <w:rStyle w:val="8"/>
          <w:rFonts w:hint="eastAsia" w:ascii="微软雅黑" w:hAnsi="微软雅黑" w:eastAsia="微软雅黑" w:cs="微软雅黑"/>
          <w:i w:val="0"/>
          <w:caps w:val="0"/>
          <w:color w:val="333333"/>
          <w:spacing w:val="0"/>
          <w:sz w:val="24"/>
          <w:szCs w:val="24"/>
          <w:shd w:val="clear" w:fill="FFFFFF"/>
          <w:lang w:eastAsia="zh-CN"/>
        </w:rPr>
        <w:t>表</w:t>
      </w:r>
      <w:r>
        <w:rPr>
          <w:sz w:val="21"/>
          <w:szCs w:val="21"/>
        </w:rPr>
        <w:drawing>
          <wp:inline distT="0" distB="0" distL="114300" distR="114300">
            <wp:extent cx="8792210" cy="4737735"/>
            <wp:effectExtent l="0" t="0" r="889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8792210" cy="4737735"/>
                    </a:xfrm>
                    <a:prstGeom prst="rect">
                      <a:avLst/>
                    </a:prstGeom>
                    <a:noFill/>
                    <a:ln>
                      <a:noFill/>
                    </a:ln>
                  </pic:spPr>
                </pic:pic>
              </a:graphicData>
            </a:graphic>
          </wp:inline>
        </w:drawing>
      </w:r>
    </w:p>
    <w:p w14:paraId="0C7CF94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rPr>
          <w:color w:val="333333"/>
          <w:sz w:val="24"/>
          <w:szCs w:val="24"/>
        </w:rPr>
      </w:pPr>
      <w:r>
        <w:drawing>
          <wp:inline distT="0" distB="0" distL="114300" distR="114300">
            <wp:extent cx="8731885" cy="3627120"/>
            <wp:effectExtent l="0" t="0" r="12065" b="1143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8731885" cy="3627120"/>
                    </a:xfrm>
                    <a:prstGeom prst="rect">
                      <a:avLst/>
                    </a:prstGeom>
                    <a:noFill/>
                    <a:ln>
                      <a:noFill/>
                    </a:ln>
                  </pic:spPr>
                </pic:pic>
              </a:graphicData>
            </a:graphic>
          </wp:inline>
        </w:drawing>
      </w:r>
    </w:p>
    <w:p w14:paraId="4D3F1E8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pPr>
      <w:r>
        <w:drawing>
          <wp:inline distT="0" distB="0" distL="114300" distR="114300">
            <wp:extent cx="8854440" cy="4051300"/>
            <wp:effectExtent l="0" t="0" r="381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8854440" cy="4051300"/>
                    </a:xfrm>
                    <a:prstGeom prst="rect">
                      <a:avLst/>
                    </a:prstGeom>
                    <a:noFill/>
                    <a:ln>
                      <a:noFill/>
                    </a:ln>
                  </pic:spPr>
                </pic:pic>
              </a:graphicData>
            </a:graphic>
          </wp:inline>
        </w:drawing>
      </w:r>
    </w:p>
    <w:p w14:paraId="6C39724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pPr>
      <w:r>
        <w:drawing>
          <wp:inline distT="0" distB="0" distL="114300" distR="114300">
            <wp:extent cx="8801100" cy="5460365"/>
            <wp:effectExtent l="0" t="0" r="0" b="698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8801100" cy="5460365"/>
                    </a:xfrm>
                    <a:prstGeom prst="rect">
                      <a:avLst/>
                    </a:prstGeom>
                    <a:noFill/>
                    <a:ln>
                      <a:noFill/>
                    </a:ln>
                  </pic:spPr>
                </pic:pic>
              </a:graphicData>
            </a:graphic>
          </wp:inline>
        </w:drawing>
      </w:r>
    </w:p>
    <w:p w14:paraId="206C812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pPr>
      <w:r>
        <w:drawing>
          <wp:inline distT="0" distB="0" distL="114300" distR="114300">
            <wp:extent cx="8791575" cy="4572000"/>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8791575" cy="4572000"/>
                    </a:xfrm>
                    <a:prstGeom prst="rect">
                      <a:avLst/>
                    </a:prstGeom>
                    <a:noFill/>
                    <a:ln>
                      <a:noFill/>
                    </a:ln>
                  </pic:spPr>
                </pic:pic>
              </a:graphicData>
            </a:graphic>
          </wp:inline>
        </w:drawing>
      </w:r>
    </w:p>
    <w:p w14:paraId="12354CB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Style w:val="8"/>
          <w:rFonts w:hint="eastAsia" w:ascii="微软雅黑" w:hAnsi="微软雅黑" w:eastAsia="微软雅黑" w:cs="微软雅黑"/>
          <w:i w:val="0"/>
          <w:caps w:val="0"/>
          <w:color w:val="333333"/>
          <w:spacing w:val="0"/>
          <w:sz w:val="24"/>
          <w:szCs w:val="24"/>
          <w:shd w:val="clear" w:fill="FFFFFF"/>
          <w:lang w:eastAsia="zh-CN"/>
        </w:rPr>
      </w:pPr>
    </w:p>
    <w:p w14:paraId="47086F0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pPr>
      <w:r>
        <w:drawing>
          <wp:inline distT="0" distB="0" distL="114300" distR="114300">
            <wp:extent cx="8503285" cy="5307330"/>
            <wp:effectExtent l="0" t="0" r="12065"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8503285" cy="5307330"/>
                    </a:xfrm>
                    <a:prstGeom prst="rect">
                      <a:avLst/>
                    </a:prstGeom>
                    <a:noFill/>
                    <a:ln>
                      <a:noFill/>
                    </a:ln>
                  </pic:spPr>
                </pic:pic>
              </a:graphicData>
            </a:graphic>
          </wp:inline>
        </w:drawing>
      </w:r>
    </w:p>
    <w:p w14:paraId="2530D9E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pPr>
      <w:r>
        <w:drawing>
          <wp:inline distT="0" distB="0" distL="114300" distR="114300">
            <wp:extent cx="8521065" cy="1840865"/>
            <wp:effectExtent l="0" t="0" r="13335" b="698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a:stretch>
                      <a:fillRect/>
                    </a:stretch>
                  </pic:blipFill>
                  <pic:spPr>
                    <a:xfrm>
                      <a:off x="0" y="0"/>
                      <a:ext cx="8521065" cy="1840865"/>
                    </a:xfrm>
                    <a:prstGeom prst="rect">
                      <a:avLst/>
                    </a:prstGeom>
                    <a:noFill/>
                    <a:ln>
                      <a:noFill/>
                    </a:ln>
                  </pic:spPr>
                </pic:pic>
              </a:graphicData>
            </a:graphic>
          </wp:inline>
        </w:drawing>
      </w:r>
    </w:p>
    <w:p w14:paraId="26F4EF1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rFonts w:hint="eastAsia"/>
          <w:lang w:eastAsia="zh-CN"/>
        </w:rPr>
      </w:pPr>
      <w:r>
        <w:drawing>
          <wp:inline distT="0" distB="0" distL="114300" distR="114300">
            <wp:extent cx="8510905" cy="2839720"/>
            <wp:effectExtent l="0" t="0" r="4445" b="1778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1"/>
                    <a:stretch>
                      <a:fillRect/>
                    </a:stretch>
                  </pic:blipFill>
                  <pic:spPr>
                    <a:xfrm>
                      <a:off x="0" y="0"/>
                      <a:ext cx="8510905" cy="2839720"/>
                    </a:xfrm>
                    <a:prstGeom prst="rect">
                      <a:avLst/>
                    </a:prstGeom>
                    <a:noFill/>
                    <a:ln>
                      <a:noFill/>
                    </a:ln>
                  </pic:spPr>
                </pic:pic>
              </a:graphicData>
            </a:graphic>
          </wp:inline>
        </w:drawing>
      </w:r>
    </w:p>
    <w:p w14:paraId="1F3BF4A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Style w:val="8"/>
          <w:rFonts w:hint="eastAsia" w:ascii="微软雅黑" w:hAnsi="微软雅黑" w:eastAsia="微软雅黑" w:cs="微软雅黑"/>
          <w:i w:val="0"/>
          <w:caps w:val="0"/>
          <w:color w:val="333333"/>
          <w:spacing w:val="0"/>
          <w:sz w:val="24"/>
          <w:szCs w:val="24"/>
          <w:shd w:val="clear" w:fill="FFFFFF"/>
          <w:lang w:eastAsia="zh-CN"/>
        </w:rPr>
        <w:t>第三部分</w:t>
      </w:r>
      <w:r>
        <w:rPr>
          <w:rStyle w:val="8"/>
          <w:rFonts w:hint="eastAsia" w:ascii="微软雅黑" w:hAnsi="微软雅黑" w:eastAsia="微软雅黑" w:cs="微软雅黑"/>
          <w:i w:val="0"/>
          <w:caps w:val="0"/>
          <w:color w:val="333333"/>
          <w:spacing w:val="0"/>
          <w:sz w:val="24"/>
          <w:szCs w:val="24"/>
          <w:shd w:val="clear" w:fill="FFFFFF"/>
          <w:lang w:val="en-US" w:eastAsia="zh-CN"/>
        </w:rPr>
        <w:t xml:space="preserve"> </w:t>
      </w:r>
      <w:r>
        <w:rPr>
          <w:rStyle w:val="8"/>
          <w:rFonts w:hint="eastAsia" w:ascii="微软雅黑" w:hAnsi="微软雅黑" w:eastAsia="微软雅黑" w:cs="微软雅黑"/>
          <w:i w:val="0"/>
          <w:caps w:val="0"/>
          <w:color w:val="333333"/>
          <w:spacing w:val="0"/>
          <w:sz w:val="24"/>
          <w:szCs w:val="24"/>
          <w:shd w:val="clear" w:fill="FFFFFF"/>
        </w:rPr>
        <w:t>201</w:t>
      </w:r>
      <w:r>
        <w:rPr>
          <w:rStyle w:val="8"/>
          <w:rFonts w:hint="eastAsia" w:ascii="微软雅黑" w:hAnsi="微软雅黑" w:eastAsia="微软雅黑" w:cs="微软雅黑"/>
          <w:i w:val="0"/>
          <w:caps w:val="0"/>
          <w:color w:val="333333"/>
          <w:spacing w:val="0"/>
          <w:sz w:val="24"/>
          <w:szCs w:val="24"/>
          <w:shd w:val="clear" w:fill="FFFFFF"/>
          <w:lang w:val="en-US" w:eastAsia="zh-CN"/>
        </w:rPr>
        <w:t>8</w:t>
      </w:r>
      <w:r>
        <w:rPr>
          <w:rStyle w:val="8"/>
          <w:rFonts w:hint="eastAsia" w:ascii="微软雅黑" w:hAnsi="微软雅黑" w:eastAsia="微软雅黑" w:cs="微软雅黑"/>
          <w:i w:val="0"/>
          <w:caps w:val="0"/>
          <w:color w:val="333333"/>
          <w:spacing w:val="0"/>
          <w:sz w:val="24"/>
          <w:szCs w:val="24"/>
          <w:shd w:val="clear" w:fill="FFFFFF"/>
        </w:rPr>
        <w:t>年部门决算情况说明</w:t>
      </w:r>
    </w:p>
    <w:p w14:paraId="3F73402C">
      <w:pPr>
        <w:pStyle w:val="9"/>
        <w:keepNext w:val="0"/>
        <w:keepLines w:val="0"/>
        <w:pageBreakBefore w:val="0"/>
        <w:kinsoku/>
        <w:wordWrap/>
        <w:overflowPunct/>
        <w:topLinePunct w:val="0"/>
        <w:autoSpaceDE/>
        <w:autoSpaceDN/>
        <w:bidi w:val="0"/>
        <w:adjustRightInd/>
        <w:snapToGrid/>
        <w:ind w:left="0" w:leftChars="0" w:firstLine="562" w:firstLineChars="200"/>
        <w:textAlignment w:val="auto"/>
        <w:rPr>
          <w:rFonts w:hint="eastAsia" w:asciiTheme="majorEastAsia" w:hAnsiTheme="majorEastAsia" w:eastAsiaTheme="majorEastAsia" w:cstheme="majorEastAsia"/>
          <w:b/>
          <w:bCs/>
          <w:sz w:val="28"/>
          <w:szCs w:val="28"/>
          <w:lang w:eastAsia="zh-CN"/>
        </w:rPr>
      </w:pPr>
      <w:r>
        <w:rPr>
          <w:rFonts w:hint="eastAsia" w:asciiTheme="majorEastAsia" w:hAnsiTheme="majorEastAsia" w:eastAsiaTheme="majorEastAsia" w:cstheme="majorEastAsia"/>
          <w:b/>
          <w:bCs/>
          <w:sz w:val="28"/>
          <w:szCs w:val="28"/>
          <w:lang w:eastAsia="zh-CN"/>
        </w:rPr>
        <w:t>（一）预算执行情况分析</w:t>
      </w:r>
    </w:p>
    <w:p w14:paraId="48601FB7">
      <w:pPr>
        <w:keepNext w:val="0"/>
        <w:keepLines w:val="0"/>
        <w:pageBreakBefore w:val="0"/>
        <w:widowControl/>
        <w:kinsoku/>
        <w:wordWrap/>
        <w:overflowPunct/>
        <w:topLinePunct w:val="0"/>
        <w:autoSpaceDE/>
        <w:autoSpaceDN/>
        <w:bidi w:val="0"/>
        <w:adjustRightInd/>
        <w:snapToGrid/>
        <w:ind w:firstLine="568" w:firstLineChars="200"/>
        <w:textAlignment w:val="auto"/>
        <w:rPr>
          <w:rFonts w:hint="eastAsia" w:asciiTheme="minorEastAsia" w:hAnsiTheme="minorEastAsia" w:eastAsiaTheme="minorEastAsia" w:cstheme="minorEastAsia"/>
          <w:b w:val="0"/>
          <w:bCs/>
          <w:color w:val="000000"/>
          <w:spacing w:val="2"/>
          <w:sz w:val="28"/>
          <w:szCs w:val="28"/>
        </w:rPr>
      </w:pPr>
      <w:r>
        <w:rPr>
          <w:rFonts w:hint="eastAsia" w:asciiTheme="minorEastAsia" w:hAnsiTheme="minorEastAsia" w:eastAsiaTheme="minorEastAsia" w:cstheme="minorEastAsia"/>
          <w:b w:val="0"/>
          <w:bCs/>
          <w:color w:val="000000"/>
          <w:spacing w:val="2"/>
          <w:sz w:val="28"/>
          <w:szCs w:val="28"/>
          <w:lang w:val="en-US" w:eastAsia="zh-CN"/>
        </w:rPr>
        <w:t>1</w:t>
      </w:r>
      <w:r>
        <w:rPr>
          <w:rFonts w:hint="eastAsia" w:asciiTheme="minorEastAsia" w:hAnsiTheme="minorEastAsia" w:eastAsiaTheme="minorEastAsia" w:cstheme="minorEastAsia"/>
          <w:b w:val="0"/>
          <w:bCs/>
          <w:color w:val="000000"/>
          <w:spacing w:val="2"/>
          <w:sz w:val="28"/>
          <w:szCs w:val="28"/>
        </w:rPr>
        <w:t>、收入支出与预算对比分析</w:t>
      </w:r>
    </w:p>
    <w:p w14:paraId="63C2F7B9">
      <w:pPr>
        <w:keepNext w:val="0"/>
        <w:keepLines w:val="0"/>
        <w:pageBreakBefore w:val="0"/>
        <w:widowControl/>
        <w:shd w:val="clear" w:color="auto" w:fill="FFFFFF"/>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b w:val="0"/>
          <w:bCs w:val="0"/>
          <w:color w:val="333333"/>
          <w:kern w:val="0"/>
          <w:sz w:val="28"/>
          <w:szCs w:val="28"/>
        </w:rPr>
      </w:pPr>
      <w:r>
        <w:rPr>
          <w:rFonts w:hint="eastAsia" w:asciiTheme="minorEastAsia" w:hAnsiTheme="minorEastAsia" w:eastAsiaTheme="minorEastAsia" w:cstheme="minorEastAsia"/>
          <w:color w:val="333333"/>
          <w:kern w:val="0"/>
          <w:sz w:val="28"/>
          <w:szCs w:val="28"/>
        </w:rPr>
        <w:t>2018年全年总收入4031.59万元,其中财拔款决算收入1275.66万元(基本支出行政运行657.9万元),其它收入2755.93万元, 2018年全年总支出4031.59万元,其中财拔款决算支出1275.66万元(基本支出行政运行657.9万元),其它资金支出468万元,2018年财政预算数657.9万元，财拔决算比预算多617.76万</w:t>
      </w:r>
      <w:r>
        <w:rPr>
          <w:rFonts w:hint="eastAsia" w:asciiTheme="minorEastAsia" w:hAnsiTheme="minorEastAsia" w:eastAsiaTheme="minorEastAsia" w:cstheme="minorEastAsia"/>
          <w:b w:val="0"/>
          <w:bCs w:val="0"/>
          <w:color w:val="333333"/>
          <w:kern w:val="0"/>
          <w:sz w:val="28"/>
          <w:szCs w:val="28"/>
        </w:rPr>
        <w:t>元,幅度为51.5%,原因为业务增加，项目增加。</w:t>
      </w:r>
    </w:p>
    <w:p w14:paraId="6D76D8FB">
      <w:pPr>
        <w:keepNext w:val="0"/>
        <w:keepLines w:val="0"/>
        <w:pageBreakBefore w:val="0"/>
        <w:kinsoku/>
        <w:wordWrap/>
        <w:overflowPunct/>
        <w:topLinePunct w:val="0"/>
        <w:autoSpaceDE/>
        <w:autoSpaceDN/>
        <w:bidi w:val="0"/>
        <w:adjustRightInd/>
        <w:snapToGrid/>
        <w:spacing w:line="440" w:lineRule="exact"/>
        <w:ind w:firstLine="568" w:firstLineChars="200"/>
        <w:textAlignment w:val="auto"/>
        <w:rPr>
          <w:rFonts w:hint="eastAsia" w:asciiTheme="minorEastAsia" w:hAnsiTheme="minorEastAsia" w:eastAsiaTheme="minorEastAsia" w:cstheme="minorEastAsia"/>
          <w:b w:val="0"/>
          <w:bCs w:val="0"/>
          <w:color w:val="000000"/>
          <w:spacing w:val="2"/>
          <w:sz w:val="28"/>
          <w:szCs w:val="28"/>
        </w:rPr>
      </w:pPr>
      <w:r>
        <w:rPr>
          <w:rFonts w:hint="eastAsia" w:asciiTheme="minorEastAsia" w:hAnsiTheme="minorEastAsia" w:eastAsiaTheme="minorEastAsia" w:cstheme="minorEastAsia"/>
          <w:b w:val="0"/>
          <w:bCs w:val="0"/>
          <w:color w:val="000000"/>
          <w:spacing w:val="2"/>
          <w:sz w:val="28"/>
          <w:szCs w:val="28"/>
          <w:lang w:val="en-US" w:eastAsia="zh-CN"/>
        </w:rPr>
        <w:t>2</w:t>
      </w:r>
      <w:r>
        <w:rPr>
          <w:rFonts w:hint="eastAsia" w:asciiTheme="minorEastAsia" w:hAnsiTheme="minorEastAsia" w:eastAsiaTheme="minorEastAsia" w:cstheme="minorEastAsia"/>
          <w:b w:val="0"/>
          <w:bCs w:val="0"/>
          <w:color w:val="000000"/>
          <w:spacing w:val="2"/>
          <w:sz w:val="28"/>
          <w:szCs w:val="28"/>
        </w:rPr>
        <w:t>、收入支出结构分析</w:t>
      </w:r>
    </w:p>
    <w:p w14:paraId="1D98C8D1">
      <w:pPr>
        <w:keepNext w:val="0"/>
        <w:keepLines w:val="0"/>
        <w:pageBreakBefore w:val="0"/>
        <w:widowControl/>
        <w:shd w:val="clear" w:color="auto" w:fill="FFFFFF"/>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color w:val="333333"/>
          <w:kern w:val="0"/>
          <w:sz w:val="28"/>
          <w:szCs w:val="28"/>
        </w:rPr>
        <w:t>2018年全年总收入4031.59万元,其中财拔款决算收入1275.66元(基本支出行政运行657.9万元),占总收入16.3%,其它收入2755.93万元, 占总收入68.3%, 2018年全年总支出4031.59万元,其中财拔款决算支出1275.66万元(基本支出行政运行657.9万元),占总支出58%,其它资金支出617.76万元, 占总支出15.3.%。</w:t>
      </w:r>
    </w:p>
    <w:p w14:paraId="0E1489B0">
      <w:pPr>
        <w:pStyle w:val="9"/>
        <w:keepNext w:val="0"/>
        <w:keepLines w:val="0"/>
        <w:pageBreakBefore w:val="0"/>
        <w:kinsoku/>
        <w:wordWrap/>
        <w:overflowPunct/>
        <w:topLinePunct w:val="0"/>
        <w:autoSpaceDE/>
        <w:autoSpaceDN/>
        <w:bidi w:val="0"/>
        <w:adjustRightInd/>
        <w:snapToGrid/>
        <w:ind w:left="0" w:leftChars="0" w:firstLine="562" w:firstLineChars="200"/>
        <w:textAlignment w:val="auto"/>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lang w:eastAsia="zh-CN"/>
        </w:rPr>
        <w:t>（二）</w:t>
      </w:r>
      <w:r>
        <w:rPr>
          <w:rFonts w:hint="eastAsia" w:asciiTheme="majorEastAsia" w:hAnsiTheme="majorEastAsia" w:eastAsiaTheme="majorEastAsia" w:cstheme="majorEastAsia"/>
          <w:b/>
          <w:bCs/>
          <w:sz w:val="28"/>
          <w:szCs w:val="28"/>
        </w:rPr>
        <w:t>关于“三公”经费支出说明</w:t>
      </w:r>
    </w:p>
    <w:p w14:paraId="30BEF654">
      <w:pPr>
        <w:keepNext w:val="0"/>
        <w:keepLines w:val="0"/>
        <w:pageBreakBefore w:val="0"/>
        <w:widowControl/>
        <w:shd w:val="clear" w:color="auto" w:fill="FFFFFF"/>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color w:val="333333"/>
          <w:kern w:val="0"/>
          <w:sz w:val="28"/>
          <w:szCs w:val="28"/>
        </w:rPr>
        <w:t>花湖街道2018年三公经费支出为零，无公务用车，无公务接待，无因公出国（境）。</w:t>
      </w:r>
    </w:p>
    <w:p w14:paraId="014E7DB0">
      <w:pPr>
        <w:pStyle w:val="9"/>
        <w:keepNext w:val="0"/>
        <w:keepLines w:val="0"/>
        <w:pageBreakBefore w:val="0"/>
        <w:kinsoku/>
        <w:wordWrap/>
        <w:overflowPunct/>
        <w:topLinePunct w:val="0"/>
        <w:autoSpaceDE/>
        <w:autoSpaceDN/>
        <w:bidi w:val="0"/>
        <w:adjustRightInd/>
        <w:snapToGrid/>
        <w:ind w:left="0" w:leftChars="0" w:firstLine="562" w:firstLineChars="200"/>
        <w:textAlignment w:val="auto"/>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lang w:eastAsia="zh-CN"/>
        </w:rPr>
        <w:t>（三）</w:t>
      </w:r>
      <w:r>
        <w:rPr>
          <w:rFonts w:hint="eastAsia" w:asciiTheme="majorEastAsia" w:hAnsiTheme="majorEastAsia" w:eastAsiaTheme="majorEastAsia" w:cstheme="majorEastAsia"/>
          <w:b/>
          <w:bCs/>
          <w:sz w:val="28"/>
          <w:szCs w:val="28"/>
        </w:rPr>
        <w:t>关于机关运行经费支出说明</w:t>
      </w:r>
    </w:p>
    <w:p w14:paraId="04B3E5E9">
      <w:pPr>
        <w:keepNext w:val="0"/>
        <w:keepLines w:val="0"/>
        <w:pageBreakBefore w:val="0"/>
        <w:widowControl/>
        <w:shd w:val="clear" w:color="auto" w:fill="FFFFFF"/>
        <w:kinsoku/>
        <w:wordWrap/>
        <w:overflowPunct/>
        <w:topLinePunct w:val="0"/>
        <w:autoSpaceDE/>
        <w:autoSpaceDN/>
        <w:bidi w:val="0"/>
        <w:adjustRightInd/>
        <w:snapToGrid/>
        <w:ind w:firstLine="560" w:firstLineChars="200"/>
        <w:jc w:val="left"/>
        <w:textAlignment w:val="auto"/>
        <w:rPr>
          <w:rFonts w:hint="eastAsia" w:ascii="宋体" w:hAnsi="宋体" w:cs="宋体"/>
          <w:color w:val="333333"/>
          <w:kern w:val="0"/>
          <w:sz w:val="28"/>
          <w:szCs w:val="28"/>
        </w:rPr>
      </w:pPr>
      <w:r>
        <w:rPr>
          <w:rFonts w:hint="eastAsia" w:ascii="宋体" w:hAnsi="宋体" w:cs="宋体"/>
          <w:color w:val="333333"/>
          <w:kern w:val="0"/>
          <w:sz w:val="28"/>
          <w:szCs w:val="28"/>
        </w:rPr>
        <w:t>黄石港区花湖街道办事处2018年机关运行经费657.9万元，比同年增加201万元，同比上年增加43.9%，原因是业务量增加。</w:t>
      </w:r>
    </w:p>
    <w:p w14:paraId="5B0EE2D9">
      <w:pPr>
        <w:pStyle w:val="9"/>
        <w:keepNext w:val="0"/>
        <w:keepLines w:val="0"/>
        <w:pageBreakBefore w:val="0"/>
        <w:numPr>
          <w:ilvl w:val="0"/>
          <w:numId w:val="0"/>
        </w:numPr>
        <w:kinsoku/>
        <w:wordWrap/>
        <w:overflowPunct/>
        <w:topLinePunct w:val="0"/>
        <w:autoSpaceDE/>
        <w:autoSpaceDN/>
        <w:bidi w:val="0"/>
        <w:adjustRightInd/>
        <w:snapToGrid/>
        <w:ind w:leftChars="200"/>
        <w:textAlignment w:val="auto"/>
        <w:rPr>
          <w:rFonts w:hint="eastAsia" w:asciiTheme="minorEastAsia" w:hAnsiTheme="minorEastAsia" w:eastAsiaTheme="minorEastAsia" w:cstheme="minorEastAsia"/>
          <w:b/>
          <w:bCs w:val="0"/>
          <w:sz w:val="28"/>
          <w:szCs w:val="28"/>
        </w:rPr>
      </w:pPr>
      <w:r>
        <w:rPr>
          <w:rFonts w:hint="eastAsia" w:asciiTheme="minorEastAsia" w:hAnsiTheme="minorEastAsia" w:eastAsiaTheme="minorEastAsia" w:cstheme="minorEastAsia"/>
          <w:b/>
          <w:bCs w:val="0"/>
          <w:sz w:val="28"/>
          <w:szCs w:val="28"/>
          <w:lang w:eastAsia="zh-CN"/>
        </w:rPr>
        <w:t>（四）</w:t>
      </w:r>
      <w:r>
        <w:rPr>
          <w:rFonts w:hint="eastAsia" w:asciiTheme="minorEastAsia" w:hAnsiTheme="minorEastAsia" w:eastAsiaTheme="minorEastAsia" w:cstheme="minorEastAsia"/>
          <w:b/>
          <w:bCs w:val="0"/>
          <w:sz w:val="28"/>
          <w:szCs w:val="28"/>
        </w:rPr>
        <w:t>关于政府采购支出说明</w:t>
      </w:r>
    </w:p>
    <w:p w14:paraId="2E13B187">
      <w:pPr>
        <w:pStyle w:val="9"/>
        <w:keepNext w:val="0"/>
        <w:keepLines w:val="0"/>
        <w:pageBreakBefore w:val="0"/>
        <w:numPr>
          <w:ilvl w:val="0"/>
          <w:numId w:val="0"/>
        </w:numPr>
        <w:kinsoku/>
        <w:wordWrap/>
        <w:overflowPunct/>
        <w:topLinePunct w:val="0"/>
        <w:autoSpaceDE/>
        <w:autoSpaceDN/>
        <w:bidi w:val="0"/>
        <w:adjustRightInd/>
        <w:snapToGrid/>
        <w:ind w:leftChars="0"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color w:val="333333"/>
          <w:kern w:val="0"/>
          <w:sz w:val="28"/>
          <w:szCs w:val="28"/>
          <w:lang w:eastAsia="zh-CN"/>
        </w:rPr>
        <w:t>本单位</w:t>
      </w:r>
      <w:r>
        <w:rPr>
          <w:rFonts w:hint="eastAsia" w:asciiTheme="minorEastAsia" w:hAnsiTheme="minorEastAsia" w:eastAsiaTheme="minorEastAsia" w:cstheme="minorEastAsia"/>
          <w:color w:val="333333"/>
          <w:kern w:val="0"/>
          <w:sz w:val="28"/>
          <w:szCs w:val="28"/>
          <w:lang w:val="en-US" w:eastAsia="zh-CN"/>
        </w:rPr>
        <w:t>2018年度无政府采购支出（锁前社区购办公桌椅3.8万元）</w:t>
      </w:r>
    </w:p>
    <w:p w14:paraId="0757C0F0">
      <w:pPr>
        <w:pStyle w:val="9"/>
        <w:keepNext w:val="0"/>
        <w:keepLines w:val="0"/>
        <w:pageBreakBefore w:val="0"/>
        <w:kinsoku/>
        <w:wordWrap/>
        <w:overflowPunct/>
        <w:topLinePunct w:val="0"/>
        <w:autoSpaceDE/>
        <w:autoSpaceDN/>
        <w:bidi w:val="0"/>
        <w:adjustRightInd/>
        <w:snapToGrid/>
        <w:ind w:left="0" w:leftChars="0" w:firstLine="281" w:firstLineChars="1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（五）</w:t>
      </w:r>
      <w:r>
        <w:rPr>
          <w:rFonts w:hint="eastAsia" w:asciiTheme="minorEastAsia" w:hAnsiTheme="minorEastAsia" w:eastAsiaTheme="minorEastAsia" w:cstheme="minorEastAsia"/>
          <w:b/>
          <w:bCs/>
          <w:sz w:val="28"/>
          <w:szCs w:val="28"/>
        </w:rPr>
        <w:t>关于国有资产占用情况说明</w:t>
      </w:r>
    </w:p>
    <w:p w14:paraId="2D68E2BF">
      <w:pPr>
        <w:keepNext w:val="0"/>
        <w:keepLines w:val="0"/>
        <w:pageBreakBefore w:val="0"/>
        <w:widowControl/>
        <w:shd w:val="clear" w:color="auto" w:fill="FFFFFF"/>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color w:val="333333"/>
          <w:kern w:val="0"/>
          <w:sz w:val="28"/>
          <w:szCs w:val="28"/>
        </w:rPr>
        <w:t>花湖街道2018年12月31日止，无公务用车辆，其他用车主要是巡逻队夜间巡逻电动摩托车10辆,价值41500.00元，社区巡逻队使用。</w:t>
      </w:r>
    </w:p>
    <w:p w14:paraId="69FC531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Style w:val="8"/>
          <w:rFonts w:hint="eastAsia" w:ascii="微软雅黑" w:hAnsi="微软雅黑" w:eastAsia="微软雅黑" w:cs="微软雅黑"/>
          <w:i w:val="0"/>
          <w:caps w:val="0"/>
          <w:color w:val="333333"/>
          <w:spacing w:val="0"/>
          <w:sz w:val="24"/>
          <w:szCs w:val="24"/>
          <w:shd w:val="clear" w:fill="FFFFFF"/>
        </w:rPr>
      </w:pPr>
    </w:p>
    <w:p w14:paraId="092B814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Style w:val="8"/>
          <w:rFonts w:hint="eastAsia" w:ascii="微软雅黑" w:hAnsi="微软雅黑" w:eastAsia="微软雅黑" w:cs="微软雅黑"/>
          <w:i w:val="0"/>
          <w:caps w:val="0"/>
          <w:color w:val="333333"/>
          <w:spacing w:val="0"/>
          <w:sz w:val="24"/>
          <w:szCs w:val="24"/>
          <w:shd w:val="clear" w:fill="FFFFFF"/>
        </w:rPr>
      </w:pPr>
    </w:p>
    <w:p w14:paraId="15AECAC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rPr>
          <w:rStyle w:val="8"/>
          <w:rFonts w:hint="eastAsia" w:ascii="微软雅黑" w:hAnsi="微软雅黑" w:eastAsia="微软雅黑" w:cs="微软雅黑"/>
          <w:i w:val="0"/>
          <w:caps w:val="0"/>
          <w:color w:val="333333"/>
          <w:spacing w:val="0"/>
          <w:sz w:val="24"/>
          <w:szCs w:val="24"/>
          <w:shd w:val="clear" w:fill="FFFFFF"/>
        </w:rPr>
      </w:pPr>
    </w:p>
    <w:p w14:paraId="2123619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rPr>
          <w:rStyle w:val="8"/>
          <w:rFonts w:hint="eastAsia" w:ascii="微软雅黑" w:hAnsi="微软雅黑" w:eastAsia="微软雅黑" w:cs="微软雅黑"/>
          <w:i w:val="0"/>
          <w:caps w:val="0"/>
          <w:color w:val="333333"/>
          <w:spacing w:val="0"/>
          <w:sz w:val="24"/>
          <w:szCs w:val="24"/>
          <w:shd w:val="clear" w:fill="FFFFFF"/>
        </w:rPr>
      </w:pPr>
    </w:p>
    <w:p w14:paraId="0681D3F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rPr>
          <w:rStyle w:val="8"/>
          <w:rFonts w:hint="eastAsia" w:ascii="微软雅黑" w:hAnsi="微软雅黑" w:eastAsia="微软雅黑" w:cs="微软雅黑"/>
          <w:i w:val="0"/>
          <w:caps w:val="0"/>
          <w:color w:val="333333"/>
          <w:spacing w:val="0"/>
          <w:sz w:val="24"/>
          <w:szCs w:val="24"/>
          <w:shd w:val="clear" w:fill="FFFFFF"/>
        </w:rPr>
      </w:pPr>
    </w:p>
    <w:p w14:paraId="6D22734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Style w:val="8"/>
          <w:rFonts w:hint="eastAsia" w:ascii="微软雅黑" w:hAnsi="微软雅黑" w:eastAsia="微软雅黑" w:cs="微软雅黑"/>
          <w:i w:val="0"/>
          <w:caps w:val="0"/>
          <w:color w:val="333333"/>
          <w:spacing w:val="0"/>
          <w:sz w:val="24"/>
          <w:szCs w:val="24"/>
          <w:shd w:val="clear" w:fill="FFFFFF"/>
        </w:rPr>
        <w:t>第四部分</w:t>
      </w:r>
      <w:r>
        <w:rPr>
          <w:rStyle w:val="8"/>
          <w:rFonts w:hint="eastAsia" w:ascii="微软雅黑" w:hAnsi="微软雅黑" w:eastAsia="微软雅黑" w:cs="微软雅黑"/>
          <w:i w:val="0"/>
          <w:caps w:val="0"/>
          <w:color w:val="333333"/>
          <w:spacing w:val="0"/>
          <w:sz w:val="24"/>
          <w:szCs w:val="24"/>
          <w:shd w:val="clear" w:fill="FFFFFF"/>
          <w:lang w:val="en-US" w:eastAsia="zh-CN"/>
        </w:rPr>
        <w:t xml:space="preserve"> </w:t>
      </w:r>
      <w:r>
        <w:rPr>
          <w:rStyle w:val="8"/>
          <w:rFonts w:hint="eastAsia" w:ascii="微软雅黑" w:hAnsi="微软雅黑" w:eastAsia="微软雅黑" w:cs="微软雅黑"/>
          <w:i w:val="0"/>
          <w:caps w:val="0"/>
          <w:color w:val="333333"/>
          <w:spacing w:val="0"/>
          <w:sz w:val="24"/>
          <w:szCs w:val="24"/>
          <w:shd w:val="clear" w:fill="FFFFFF"/>
        </w:rPr>
        <w:t>名词解释</w:t>
      </w:r>
    </w:p>
    <w:p w14:paraId="518A262D">
      <w:pPr>
        <w:widowControl/>
        <w:shd w:val="clear" w:color="auto" w:fill="FFFFFF"/>
        <w:ind w:firstLine="480"/>
        <w:jc w:val="left"/>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color w:val="333333"/>
          <w:kern w:val="0"/>
          <w:sz w:val="28"/>
          <w:szCs w:val="28"/>
        </w:rPr>
        <w:t>一、财政补助收入：指县级财政当年拨付的资金。</w:t>
      </w:r>
    </w:p>
    <w:p w14:paraId="219E592D">
      <w:pPr>
        <w:widowControl/>
        <w:shd w:val="clear" w:color="auto" w:fill="FFFFFF"/>
        <w:ind w:firstLine="480"/>
        <w:jc w:val="left"/>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color w:val="333333"/>
          <w:kern w:val="0"/>
          <w:sz w:val="28"/>
          <w:szCs w:val="28"/>
        </w:rPr>
        <w:t>二、其他收入：指除“财政拨款收入”、“上级补助收入”、“事业收入”、“经营收入”等以外的收入。主要是存款利息收入等。</w:t>
      </w:r>
    </w:p>
    <w:p w14:paraId="7156F8F1">
      <w:pPr>
        <w:widowControl/>
        <w:shd w:val="clear" w:color="auto" w:fill="FFFFFF"/>
        <w:ind w:firstLine="480"/>
        <w:jc w:val="left"/>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color w:val="333333"/>
          <w:kern w:val="0"/>
          <w:sz w:val="28"/>
          <w:szCs w:val="28"/>
        </w:rPr>
        <w:t>三、年初结转和结余：指以前年度尚未完成、结转到本年按有关规定继续使用的资金。</w:t>
      </w:r>
    </w:p>
    <w:p w14:paraId="5CF56D64">
      <w:pPr>
        <w:widowControl/>
        <w:shd w:val="clear" w:color="auto" w:fill="FFFFFF"/>
        <w:ind w:firstLine="480"/>
        <w:jc w:val="left"/>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color w:val="333333"/>
          <w:kern w:val="0"/>
          <w:sz w:val="28"/>
          <w:szCs w:val="28"/>
        </w:rPr>
        <w:t>四、一般公共服务（类）行政运行（项）：指县行政单位及参照公务员管理事业单位用于保障机构正常运行、开展日常工作的基本支出。</w:t>
      </w:r>
    </w:p>
    <w:p w14:paraId="698946B3">
      <w:pPr>
        <w:widowControl/>
        <w:shd w:val="clear" w:color="auto" w:fill="FFFFFF"/>
        <w:ind w:firstLine="480"/>
        <w:jc w:val="left"/>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color w:val="333333"/>
          <w:kern w:val="0"/>
          <w:sz w:val="28"/>
          <w:szCs w:val="28"/>
        </w:rPr>
        <w:t>五、一般公共服务（类）一般行政管理事务（项）：指县行政单位及参照公务员管理事业单位用于开展立法调研、财政信息宣传、非税收入征管等未单独设置项级科目的专门性财政管理工作的项目支出。</w:t>
      </w:r>
    </w:p>
    <w:p w14:paraId="022687E3">
      <w:pPr>
        <w:widowControl/>
        <w:shd w:val="clear" w:color="auto" w:fill="FFFFFF"/>
        <w:ind w:firstLine="480"/>
        <w:jc w:val="left"/>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color w:val="333333"/>
          <w:kern w:val="0"/>
          <w:sz w:val="28"/>
          <w:szCs w:val="28"/>
        </w:rPr>
        <w:t>六、一般公共服务（类）机关服务（项）：指县</w:t>
      </w:r>
      <w:r>
        <w:rPr>
          <w:rFonts w:hint="eastAsia" w:asciiTheme="minorEastAsia" w:hAnsiTheme="minorEastAsia" w:eastAsiaTheme="minorEastAsia" w:cstheme="minorEastAsia"/>
          <w:color w:val="333333"/>
          <w:kern w:val="0"/>
          <w:sz w:val="28"/>
          <w:szCs w:val="28"/>
          <w:lang w:eastAsia="zh-CN"/>
        </w:rPr>
        <w:t>黄石港区花湖街办</w:t>
      </w:r>
      <w:r>
        <w:rPr>
          <w:rFonts w:hint="eastAsia" w:asciiTheme="minorEastAsia" w:hAnsiTheme="minorEastAsia" w:eastAsiaTheme="minorEastAsia" w:cstheme="minorEastAsia"/>
          <w:color w:val="333333"/>
          <w:kern w:val="0"/>
          <w:sz w:val="28"/>
          <w:szCs w:val="28"/>
        </w:rPr>
        <w:t>服务中心为机关提供办公楼日常维修、维护等后勤保障服务的支出。</w:t>
      </w:r>
    </w:p>
    <w:p w14:paraId="3A80DA65">
      <w:pPr>
        <w:widowControl/>
        <w:shd w:val="clear" w:color="auto" w:fill="FFFFFF"/>
        <w:ind w:firstLine="480"/>
        <w:jc w:val="left"/>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color w:val="333333"/>
          <w:kern w:val="0"/>
          <w:sz w:val="28"/>
          <w:szCs w:val="28"/>
        </w:rPr>
        <w:t>七、一般公共服务（类）其他一般公共服务支出（款）其他一般公共服务支出（项）：指</w:t>
      </w:r>
      <w:r>
        <w:rPr>
          <w:rFonts w:hint="eastAsia" w:asciiTheme="minorEastAsia" w:hAnsiTheme="minorEastAsia" w:eastAsiaTheme="minorEastAsia" w:cstheme="minorEastAsia"/>
          <w:color w:val="333333"/>
          <w:kern w:val="0"/>
          <w:sz w:val="28"/>
          <w:szCs w:val="28"/>
          <w:lang w:eastAsia="zh-CN"/>
        </w:rPr>
        <w:t>黄石港区花湖街办</w:t>
      </w:r>
      <w:r>
        <w:rPr>
          <w:rFonts w:hint="eastAsia" w:asciiTheme="minorEastAsia" w:hAnsiTheme="minorEastAsia" w:eastAsiaTheme="minorEastAsia" w:cstheme="minorEastAsia"/>
          <w:color w:val="333333"/>
          <w:kern w:val="0"/>
          <w:sz w:val="28"/>
          <w:szCs w:val="28"/>
        </w:rPr>
        <w:t>用于其他一般公共服务方面的支出。</w:t>
      </w:r>
    </w:p>
    <w:p w14:paraId="7CA3147B">
      <w:pPr>
        <w:widowControl/>
        <w:shd w:val="clear" w:color="auto" w:fill="FFFFFF"/>
        <w:ind w:firstLine="480"/>
        <w:jc w:val="left"/>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color w:val="333333"/>
          <w:kern w:val="0"/>
          <w:sz w:val="28"/>
          <w:szCs w:val="28"/>
        </w:rPr>
        <w:t>八、教育（类）普通教育（款）高等教育（项）：指</w:t>
      </w:r>
      <w:r>
        <w:rPr>
          <w:rFonts w:hint="eastAsia" w:asciiTheme="minorEastAsia" w:hAnsiTheme="minorEastAsia" w:eastAsiaTheme="minorEastAsia" w:cstheme="minorEastAsia"/>
          <w:color w:val="333333"/>
          <w:kern w:val="0"/>
          <w:sz w:val="28"/>
          <w:szCs w:val="28"/>
          <w:lang w:eastAsia="zh-CN"/>
        </w:rPr>
        <w:t>黄石港区花湖街办</w:t>
      </w:r>
      <w:r>
        <w:rPr>
          <w:rFonts w:hint="eastAsia" w:asciiTheme="minorEastAsia" w:hAnsiTheme="minorEastAsia" w:eastAsiaTheme="minorEastAsia" w:cstheme="minorEastAsia"/>
          <w:color w:val="333333"/>
          <w:kern w:val="0"/>
          <w:sz w:val="28"/>
          <w:szCs w:val="28"/>
        </w:rPr>
        <w:t>厅支持地方高校的重点发展和特色办学，组织专家对省属院校申报的建设规划和项目预算进行评审等相关工作的支出。</w:t>
      </w:r>
    </w:p>
    <w:p w14:paraId="6D7B2EBB">
      <w:pPr>
        <w:widowControl/>
        <w:shd w:val="clear" w:color="auto" w:fill="FFFFFF"/>
        <w:ind w:firstLine="480"/>
        <w:jc w:val="left"/>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color w:val="333333"/>
          <w:kern w:val="0"/>
          <w:sz w:val="28"/>
          <w:szCs w:val="28"/>
        </w:rPr>
        <w:t>九、社会保障和就业(类)行政事业单位离退休（款）归口管理的行政单位离退休（项）：指</w:t>
      </w:r>
      <w:r>
        <w:rPr>
          <w:rFonts w:hint="eastAsia" w:asciiTheme="minorEastAsia" w:hAnsiTheme="minorEastAsia" w:eastAsiaTheme="minorEastAsia" w:cstheme="minorEastAsia"/>
          <w:color w:val="333333"/>
          <w:kern w:val="0"/>
          <w:sz w:val="28"/>
          <w:szCs w:val="28"/>
          <w:lang w:eastAsia="zh-CN"/>
        </w:rPr>
        <w:t>黄石港区花湖街办</w:t>
      </w:r>
      <w:r>
        <w:rPr>
          <w:rFonts w:hint="eastAsia" w:asciiTheme="minorEastAsia" w:hAnsiTheme="minorEastAsia" w:eastAsiaTheme="minorEastAsia" w:cstheme="minorEastAsia"/>
          <w:color w:val="333333"/>
          <w:kern w:val="0"/>
          <w:sz w:val="28"/>
          <w:szCs w:val="28"/>
        </w:rPr>
        <w:t>用于离退休人员的支出、退休人员支出，以及提供管理服务工作的离退休干部处的支出。</w:t>
      </w:r>
    </w:p>
    <w:p w14:paraId="3B6520F3">
      <w:pPr>
        <w:widowControl/>
        <w:shd w:val="clear" w:color="auto" w:fill="FFFFFF"/>
        <w:ind w:firstLine="480"/>
        <w:jc w:val="left"/>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color w:val="333333"/>
          <w:kern w:val="0"/>
          <w:sz w:val="28"/>
          <w:szCs w:val="28"/>
        </w:rPr>
        <w:t>十、社会保障和就业(类)行政事业单位离退休（款）其他行政事业单位离退休支出（项）：指</w:t>
      </w:r>
      <w:r>
        <w:rPr>
          <w:rFonts w:hint="eastAsia" w:asciiTheme="minorEastAsia" w:hAnsiTheme="minorEastAsia" w:eastAsiaTheme="minorEastAsia" w:cstheme="minorEastAsia"/>
          <w:color w:val="333333"/>
          <w:kern w:val="0"/>
          <w:sz w:val="28"/>
          <w:szCs w:val="28"/>
          <w:lang w:eastAsia="zh-CN"/>
        </w:rPr>
        <w:t>黄石港区花湖街办</w:t>
      </w:r>
      <w:r>
        <w:rPr>
          <w:rFonts w:hint="eastAsia" w:asciiTheme="minorEastAsia" w:hAnsiTheme="minorEastAsia" w:eastAsiaTheme="minorEastAsia" w:cstheme="minorEastAsia"/>
          <w:color w:val="333333"/>
          <w:kern w:val="0"/>
          <w:sz w:val="28"/>
          <w:szCs w:val="28"/>
        </w:rPr>
        <w:t>用于离退休方面的其他支出。</w:t>
      </w:r>
    </w:p>
    <w:p w14:paraId="426CEDFD">
      <w:pPr>
        <w:widowControl/>
        <w:shd w:val="clear" w:color="auto" w:fill="FFFFFF"/>
        <w:ind w:firstLine="480"/>
        <w:jc w:val="left"/>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color w:val="333333"/>
          <w:kern w:val="0"/>
          <w:sz w:val="28"/>
          <w:szCs w:val="28"/>
        </w:rPr>
        <w:t>十一、医疗卫生与计划生育（类）医疗保障（款）行政单位医疗（项）：指</w:t>
      </w:r>
      <w:r>
        <w:rPr>
          <w:rFonts w:hint="eastAsia" w:asciiTheme="minorEastAsia" w:hAnsiTheme="minorEastAsia" w:eastAsiaTheme="minorEastAsia" w:cstheme="minorEastAsia"/>
          <w:color w:val="333333"/>
          <w:kern w:val="0"/>
          <w:sz w:val="28"/>
          <w:szCs w:val="28"/>
          <w:lang w:eastAsia="zh-CN"/>
        </w:rPr>
        <w:t>黄石港区花湖街办</w:t>
      </w:r>
      <w:r>
        <w:rPr>
          <w:rFonts w:hint="eastAsia" w:asciiTheme="minorEastAsia" w:hAnsiTheme="minorEastAsia" w:eastAsiaTheme="minorEastAsia" w:cstheme="minorEastAsia"/>
          <w:color w:val="333333"/>
          <w:kern w:val="0"/>
          <w:sz w:val="28"/>
          <w:szCs w:val="28"/>
        </w:rPr>
        <w:t>用于机关干部职工及离退休人员医疗方面的支出。</w:t>
      </w:r>
    </w:p>
    <w:p w14:paraId="30E2E293">
      <w:pPr>
        <w:widowControl/>
        <w:shd w:val="clear" w:color="auto" w:fill="FFFFFF"/>
        <w:ind w:firstLine="480"/>
        <w:jc w:val="left"/>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color w:val="333333"/>
          <w:kern w:val="0"/>
          <w:sz w:val="28"/>
          <w:szCs w:val="28"/>
        </w:rPr>
        <w:t>十二、住房保障（类）住房改革支出（款）购房补贴（项）：指按照相关住房分配货币化改革的政策规定和标准，对无房和住房未达标职工发放的住房分配货币化补贴资金。</w:t>
      </w:r>
    </w:p>
    <w:p w14:paraId="5508A130">
      <w:pPr>
        <w:widowControl/>
        <w:shd w:val="clear" w:color="auto" w:fill="FFFFFF"/>
        <w:ind w:firstLine="480"/>
        <w:jc w:val="left"/>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color w:val="333333"/>
          <w:kern w:val="0"/>
          <w:sz w:val="28"/>
          <w:szCs w:val="28"/>
        </w:rPr>
        <w:t>十三、年末结转和结余：指本年度或以前年度预算安排、因客观条件发生变化无法按原计划实施，需要延迟到以后年度按有关规定继续使用的资金。</w:t>
      </w:r>
    </w:p>
    <w:p w14:paraId="26D7920E">
      <w:pPr>
        <w:widowControl/>
        <w:shd w:val="clear" w:color="auto" w:fill="FFFFFF"/>
        <w:ind w:firstLine="480"/>
        <w:jc w:val="left"/>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color w:val="333333"/>
          <w:kern w:val="0"/>
          <w:sz w:val="28"/>
          <w:szCs w:val="28"/>
        </w:rPr>
        <w:t>十四、基本支出：指为保障机构正常运转、完成日常工作任务而发生的人员支出（包括基本工资、津贴补贴等）和公用支出（包括办公费、水电费、邮电费、交通费、差旅费等）。</w:t>
      </w:r>
    </w:p>
    <w:p w14:paraId="158DF658">
      <w:pPr>
        <w:widowControl/>
        <w:shd w:val="clear" w:color="auto" w:fill="FFFFFF"/>
        <w:ind w:firstLine="480"/>
        <w:jc w:val="left"/>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color w:val="333333"/>
          <w:kern w:val="0"/>
          <w:sz w:val="28"/>
          <w:szCs w:val="28"/>
        </w:rPr>
        <w:t>十五、项目支出：指在基本支出之外为完成特定行政任务和事业发展目标所发生的支出。</w:t>
      </w:r>
    </w:p>
    <w:p w14:paraId="06707FD7">
      <w:pPr>
        <w:widowControl/>
        <w:shd w:val="clear" w:color="auto" w:fill="FFFFFF"/>
        <w:ind w:firstLine="480"/>
        <w:jc w:val="left"/>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color w:val="333333"/>
          <w:kern w:val="0"/>
          <w:sz w:val="28"/>
          <w:szCs w:val="28"/>
        </w:rPr>
        <w:t>十六、“三公”经费：是指用财政拨款安排的因公出国（境）费、公务用车购置及运行维护费、公务接待费。</w:t>
      </w:r>
    </w:p>
    <w:p w14:paraId="3A4F4E0A"/>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新魏">
    <w:altName w:val="宋体"/>
    <w:panose1 w:val="0201080004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1843CC"/>
    <w:rsid w:val="0664587B"/>
    <w:rsid w:val="09FF39B4"/>
    <w:rsid w:val="11411182"/>
    <w:rsid w:val="13CE4B2E"/>
    <w:rsid w:val="255E033E"/>
    <w:rsid w:val="25951A68"/>
    <w:rsid w:val="27390172"/>
    <w:rsid w:val="28690CEE"/>
    <w:rsid w:val="2C7F2FCE"/>
    <w:rsid w:val="2CCE2491"/>
    <w:rsid w:val="32357C83"/>
    <w:rsid w:val="44D1770A"/>
    <w:rsid w:val="4B4F50A1"/>
    <w:rsid w:val="5558639B"/>
    <w:rsid w:val="621B3808"/>
    <w:rsid w:val="63957BC3"/>
    <w:rsid w:val="67E4782B"/>
    <w:rsid w:val="746766E2"/>
    <w:rsid w:val="781864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semiHidden/>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line="500" w:lineRule="exact"/>
      <w:ind w:firstLine="640" w:firstLineChars="200"/>
    </w:pPr>
    <w:rPr>
      <w:rFonts w:ascii="宋体"/>
      <w:sz w:val="32"/>
    </w:rPr>
  </w:style>
  <w:style w:type="paragraph" w:styleId="4">
    <w:name w:val="Plain Text"/>
    <w:basedOn w:val="1"/>
    <w:qFormat/>
    <w:uiPriority w:val="0"/>
    <w:rPr>
      <w:rFonts w:ascii="宋体" w:hAnsi="Courier New" w:cs="Courier New"/>
      <w:szCs w:val="21"/>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正文缩进 + 首行缩进:  2 字符"/>
    <w:basedOn w:val="1"/>
    <w:qFormat/>
    <w:uiPriority w:val="0"/>
    <w:pPr>
      <w:spacing w:line="560" w:lineRule="exact"/>
      <w:ind w:firstLine="640"/>
    </w:pPr>
    <w:rPr>
      <w:rFonts w:ascii="仿宋" w:hAnsi="仿宋" w:cs="宋体"/>
      <w:sz w:val="32"/>
      <w:szCs w:val="32"/>
    </w:rPr>
  </w:style>
  <w:style w:type="character" w:customStyle="1" w:styleId="10">
    <w:name w:val="ca-2"/>
    <w:basedOn w:val="7"/>
    <w:qFormat/>
    <w:uiPriority w:val="0"/>
  </w:style>
  <w:style w:type="paragraph" w:customStyle="1" w:styleId="11">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3130</Words>
  <Characters>3339</Characters>
  <Lines>0</Lines>
  <Paragraphs>0</Paragraphs>
  <TotalTime>28</TotalTime>
  <ScaleCrop>false</ScaleCrop>
  <LinksUpToDate>false</LinksUpToDate>
  <CharactersWithSpaces>3351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gg</dc:creator>
  <cp:lastModifiedBy>英甾</cp:lastModifiedBy>
  <dcterms:modified xsi:type="dcterms:W3CDTF">2024-12-19T07:40:39Z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CD8531BA0D9F445B919B72C1D7B9DF55_13</vt:lpwstr>
  </property>
</Properties>
</file>