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5D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行管处</w:t>
      </w:r>
      <w:r>
        <w:rPr>
          <w:rFonts w:hint="eastAsia" w:ascii="微软雅黑" w:hAnsi="微软雅黑" w:eastAsia="微软雅黑" w:cs="微软雅黑"/>
          <w:b/>
          <w:i w:val="0"/>
          <w:caps w:val="0"/>
          <w:color w:val="BC1010"/>
          <w:spacing w:val="0"/>
          <w:sz w:val="40"/>
          <w:szCs w:val="40"/>
          <w:shd w:val="clear" w:fill="FFFFFF"/>
        </w:rPr>
        <w:t>201</w:t>
      </w:r>
      <w:r>
        <w:rPr>
          <w:rFonts w:hint="eastAsia" w:ascii="微软雅黑" w:hAnsi="微软雅黑" w:eastAsia="微软雅黑" w:cs="微软雅黑"/>
          <w:b/>
          <w:i w:val="0"/>
          <w:caps w:val="0"/>
          <w:color w:val="BC1010"/>
          <w:spacing w:val="0"/>
          <w:sz w:val="40"/>
          <w:szCs w:val="40"/>
          <w:shd w:val="clear" w:fill="FFFFFF"/>
          <w:lang w:val="en-US" w:eastAsia="zh-CN"/>
        </w:rPr>
        <w:t>8</w:t>
      </w:r>
      <w:r>
        <w:rPr>
          <w:rFonts w:hint="eastAsia" w:ascii="微软雅黑" w:hAnsi="微软雅黑" w:eastAsia="微软雅黑" w:cs="微软雅黑"/>
          <w:b/>
          <w:i w:val="0"/>
          <w:caps w:val="0"/>
          <w:color w:val="BC1010"/>
          <w:spacing w:val="0"/>
          <w:sz w:val="40"/>
          <w:szCs w:val="40"/>
          <w:shd w:val="clear" w:fill="FFFFFF"/>
        </w:rPr>
        <w:t>年决算公开</w:t>
      </w:r>
    </w:p>
    <w:bookmarkEnd w:id="0"/>
    <w:p w14:paraId="368253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黄石港区行管处</w:t>
      </w: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年决算公开</w:t>
      </w:r>
    </w:p>
    <w:p w14:paraId="1F692F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0D261E3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3688BFBC">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15F02E63">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7C6D4F8F">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部门201</w:t>
      </w:r>
      <w:r>
        <w:rPr>
          <w:rFonts w:hint="eastAsia" w:ascii="微软雅黑" w:hAnsi="微软雅黑" w:eastAsia="微软雅黑" w:cs="微软雅黑"/>
          <w:b w:val="0"/>
          <w:i w:val="0"/>
          <w:caps w:val="0"/>
          <w:color w:val="333333"/>
          <w:spacing w:val="0"/>
          <w:sz w:val="24"/>
          <w:szCs w:val="24"/>
          <w:shd w:val="clear" w:color="090000" w:fill="FFFFFF"/>
          <w:lang w:val="en-US" w:eastAsia="zh-CN"/>
        </w:rPr>
        <w:t>8</w:t>
      </w:r>
      <w:r>
        <w:rPr>
          <w:rFonts w:hint="eastAsia" w:ascii="微软雅黑" w:hAnsi="微软雅黑" w:eastAsia="微软雅黑" w:cs="微软雅黑"/>
          <w:b w:val="0"/>
          <w:i w:val="0"/>
          <w:caps w:val="0"/>
          <w:color w:val="333333"/>
          <w:spacing w:val="0"/>
          <w:sz w:val="24"/>
          <w:szCs w:val="24"/>
          <w:shd w:val="clear" w:color="090000" w:fill="FFFFFF"/>
        </w:rPr>
        <w:t>年部门决算表</w:t>
      </w:r>
    </w:p>
    <w:p w14:paraId="3138647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7A547E9A">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079B1812">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2DEE6686">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077B4566">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2D99F07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2B42FB27">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154A54FF">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八、政府性基金预算财政拨款收入支出决算表（8）</w:t>
      </w:r>
    </w:p>
    <w:p w14:paraId="7E1CF36F">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第三部分：部门201</w:t>
      </w:r>
      <w:r>
        <w:rPr>
          <w:rFonts w:hint="eastAsia" w:ascii="微软雅黑" w:hAnsi="微软雅黑" w:eastAsia="微软雅黑" w:cs="微软雅黑"/>
          <w:b w:val="0"/>
          <w:i w:val="0"/>
          <w:caps w:val="0"/>
          <w:color w:val="333333"/>
          <w:spacing w:val="0"/>
          <w:sz w:val="24"/>
          <w:szCs w:val="24"/>
          <w:shd w:val="clear" w:color="090000" w:fill="FFFFFF"/>
          <w:lang w:val="en-US" w:eastAsia="zh-CN"/>
        </w:rPr>
        <w:t>8</w:t>
      </w:r>
      <w:r>
        <w:rPr>
          <w:rFonts w:hint="eastAsia" w:ascii="微软雅黑" w:hAnsi="微软雅黑" w:eastAsia="微软雅黑" w:cs="微软雅黑"/>
          <w:b w:val="0"/>
          <w:i w:val="0"/>
          <w:caps w:val="0"/>
          <w:color w:val="333333"/>
          <w:spacing w:val="0"/>
          <w:sz w:val="24"/>
          <w:szCs w:val="24"/>
          <w:shd w:val="clear" w:color="090000" w:fill="FFFFFF"/>
        </w:rPr>
        <w:t>年部门决算情况说明</w:t>
      </w:r>
    </w:p>
    <w:p w14:paraId="4FFC4825">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3A4B22D0">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52D6A7D4">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3EF6D3CF">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5C17C320">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425106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08E2DEAA">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09F447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48FA28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年部门决算</w:t>
      </w:r>
    </w:p>
    <w:p w14:paraId="4BF08F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14:paraId="31EE7DA9">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（一）主要职责</w:t>
      </w:r>
    </w:p>
    <w:p w14:paraId="6EB1CAA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 xml:space="preserve"> 加强机关大院安全保卫工作，严格进出人员登记管理，车辆停放有序，无盗窃等案件发生，保障机关正常办公秩序</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认真履行区机关财产管理职能，做好区机关办公用房管理工作</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履行公务车辆管理职能，做好公务车使用管理工作</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搞好机关大院绿化和公共场所的卫生管理</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加强机关食堂管理工作，保证干部职工就餐</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做好会议室的维护管理，确保正常使用</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履行公共机构节能管理职能，完成市定节能目标</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认真做好科级及以下退休干部的管理工作</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做好挂点社区的帮扶工作</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完成区委、区政府交办的其他工作。</w:t>
      </w:r>
    </w:p>
    <w:p w14:paraId="119A293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（二）单位基本信息(机构设置等)</w:t>
      </w:r>
    </w:p>
    <w:p w14:paraId="039522BB">
      <w:pPr>
        <w:spacing w:line="56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rPr>
        <w:t>1、</w:t>
      </w:r>
      <w:r>
        <w:rPr>
          <w:rFonts w:hint="eastAsia" w:asciiTheme="minorEastAsia" w:hAnsiTheme="minorEastAsia" w:eastAsiaTheme="minorEastAsia" w:cstheme="minorEastAsia"/>
          <w:b/>
          <w:bCs/>
          <w:i w:val="0"/>
          <w:caps w:val="0"/>
          <w:color w:val="000000"/>
          <w:spacing w:val="0"/>
          <w:sz w:val="28"/>
          <w:szCs w:val="28"/>
          <w:shd w:val="clear" w:color="auto" w:fill="auto"/>
          <w:lang w:val="en-US" w:eastAsia="zh-CN"/>
        </w:rPr>
        <w:t>未雨绸缪，安全保卫管控显著。</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我局</w:t>
      </w:r>
      <w:r>
        <w:rPr>
          <w:rFonts w:hint="eastAsia" w:asciiTheme="minorEastAsia" w:hAnsiTheme="minorEastAsia" w:eastAsiaTheme="minorEastAsia" w:cstheme="minorEastAsia"/>
          <w:b w:val="0"/>
          <w:i w:val="0"/>
          <w:caps w:val="0"/>
          <w:color w:val="000000"/>
          <w:spacing w:val="0"/>
          <w:sz w:val="28"/>
          <w:szCs w:val="28"/>
          <w:shd w:val="clear" w:color="auto" w:fill="auto"/>
        </w:rPr>
        <w:t>始终把安全</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保卫工作</w:t>
      </w:r>
      <w:r>
        <w:rPr>
          <w:rFonts w:hint="eastAsia" w:asciiTheme="minorEastAsia" w:hAnsiTheme="minorEastAsia" w:eastAsiaTheme="minorEastAsia" w:cstheme="minorEastAsia"/>
          <w:b w:val="0"/>
          <w:i w:val="0"/>
          <w:caps w:val="0"/>
          <w:color w:val="000000"/>
          <w:spacing w:val="0"/>
          <w:sz w:val="28"/>
          <w:szCs w:val="28"/>
          <w:shd w:val="clear" w:color="auto" w:fill="auto"/>
        </w:rPr>
        <w:t>放在首位，</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一把手</w:t>
      </w:r>
      <w:r>
        <w:rPr>
          <w:rFonts w:hint="eastAsia" w:asciiTheme="minorEastAsia" w:hAnsiTheme="minorEastAsia" w:eastAsiaTheme="minorEastAsia" w:cstheme="minorEastAsia"/>
          <w:b w:val="0"/>
          <w:i w:val="0"/>
          <w:caps w:val="0"/>
          <w:color w:val="000000"/>
          <w:spacing w:val="0"/>
          <w:sz w:val="28"/>
          <w:szCs w:val="28"/>
          <w:shd w:val="clear" w:color="auto" w:fill="auto"/>
        </w:rPr>
        <w:t>亲自抓，分管领导具体抓</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今年安排一名机关干部专抓此项工作，真正使责任落实到人。</w:t>
      </w:r>
      <w:r>
        <w:rPr>
          <w:rFonts w:hint="eastAsia" w:asciiTheme="minorEastAsia" w:hAnsiTheme="minorEastAsia" w:eastAsiaTheme="minorEastAsia" w:cstheme="minorEastAsia"/>
          <w:b w:val="0"/>
          <w:i w:val="0"/>
          <w:caps w:val="0"/>
          <w:color w:val="000000"/>
          <w:spacing w:val="0"/>
          <w:sz w:val="28"/>
          <w:szCs w:val="28"/>
          <w:shd w:val="clear" w:color="auto" w:fill="auto"/>
        </w:rPr>
        <w:t>建立了一套严密的</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安全保卫管理制度，采取</w:t>
      </w:r>
      <w:r>
        <w:rPr>
          <w:rFonts w:hint="eastAsia" w:asciiTheme="minorEastAsia" w:hAnsiTheme="minorEastAsia" w:eastAsiaTheme="minorEastAsia" w:cstheme="minorEastAsia"/>
          <w:b w:val="0"/>
          <w:i w:val="0"/>
          <w:caps w:val="0"/>
          <w:color w:val="000000"/>
          <w:spacing w:val="0"/>
          <w:sz w:val="28"/>
          <w:szCs w:val="28"/>
          <w:shd w:val="clear" w:color="auto" w:fill="auto"/>
        </w:rPr>
        <w:t>人防、物防、技防相结合</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加强保安巡逻，</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监督大院内小车有序停放，</w:t>
      </w:r>
      <w:r>
        <w:rPr>
          <w:rFonts w:hint="eastAsia" w:asciiTheme="minorEastAsia" w:hAnsiTheme="minorEastAsia" w:eastAsiaTheme="minorEastAsia" w:cstheme="minorEastAsia"/>
          <w:b w:val="0"/>
          <w:i w:val="0"/>
          <w:caps w:val="0"/>
          <w:color w:val="000000"/>
          <w:spacing w:val="0"/>
          <w:sz w:val="28"/>
          <w:szCs w:val="28"/>
          <w:shd w:val="clear" w:color="auto" w:fill="auto"/>
        </w:rPr>
        <w:t>实行24小时值班</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巡查</w:t>
      </w:r>
      <w:r>
        <w:rPr>
          <w:rFonts w:hint="eastAsia" w:asciiTheme="minorEastAsia" w:hAnsiTheme="minorEastAsia" w:eastAsiaTheme="minorEastAsia" w:cstheme="minorEastAsia"/>
          <w:b w:val="0"/>
          <w:i w:val="0"/>
          <w:caps w:val="0"/>
          <w:color w:val="000000"/>
          <w:spacing w:val="0"/>
          <w:sz w:val="28"/>
          <w:szCs w:val="28"/>
          <w:shd w:val="clear" w:color="auto" w:fill="auto"/>
        </w:rPr>
        <w:t>制度</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color w:val="000000"/>
          <w:sz w:val="28"/>
          <w:szCs w:val="28"/>
        </w:rPr>
        <w:t>协助</w:t>
      </w:r>
      <w:r>
        <w:rPr>
          <w:rFonts w:hint="eastAsia" w:asciiTheme="minorEastAsia" w:hAnsiTheme="minorEastAsia" w:eastAsiaTheme="minorEastAsia" w:cstheme="minorEastAsia"/>
          <w:color w:val="000000"/>
          <w:sz w:val="28"/>
          <w:szCs w:val="28"/>
          <w:lang w:eastAsia="zh-CN"/>
        </w:rPr>
        <w:t>区委</w:t>
      </w:r>
      <w:r>
        <w:rPr>
          <w:rFonts w:hint="eastAsia" w:asciiTheme="minorEastAsia" w:hAnsiTheme="minorEastAsia" w:eastAsiaTheme="minorEastAsia" w:cstheme="minorEastAsia"/>
          <w:color w:val="000000"/>
          <w:sz w:val="28"/>
          <w:szCs w:val="28"/>
        </w:rPr>
        <w:t>政法委</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区信访</w:t>
      </w:r>
      <w:r>
        <w:rPr>
          <w:rFonts w:hint="eastAsia" w:asciiTheme="minorEastAsia" w:hAnsiTheme="minorEastAsia" w:eastAsiaTheme="minorEastAsia" w:cstheme="minorEastAsia"/>
          <w:color w:val="000000"/>
          <w:sz w:val="28"/>
          <w:szCs w:val="28"/>
          <w:lang w:eastAsia="zh-CN"/>
        </w:rPr>
        <w:t>局</w:t>
      </w:r>
      <w:r>
        <w:rPr>
          <w:rFonts w:hint="eastAsia" w:asciiTheme="minorEastAsia" w:hAnsiTheme="minorEastAsia" w:eastAsiaTheme="minorEastAsia" w:cstheme="minorEastAsia"/>
          <w:color w:val="000000"/>
          <w:sz w:val="28"/>
          <w:szCs w:val="28"/>
        </w:rPr>
        <w:t>做好上访人员的疏导和劝解工作</w:t>
      </w:r>
      <w:r>
        <w:rPr>
          <w:rFonts w:hint="eastAsia" w:asciiTheme="minorEastAsia" w:hAnsiTheme="minorEastAsia" w:eastAsiaTheme="minorEastAsia" w:cstheme="minorEastAsia"/>
          <w:color w:val="000000"/>
          <w:sz w:val="28"/>
          <w:szCs w:val="28"/>
          <w:lang w:eastAsia="zh-CN"/>
        </w:rPr>
        <w:t>，及时化解不稳定不和谐因素。增加了</w:t>
      </w:r>
      <w:r>
        <w:rPr>
          <w:rFonts w:hint="eastAsia" w:asciiTheme="minorEastAsia" w:hAnsiTheme="minorEastAsia" w:eastAsiaTheme="minorEastAsia" w:cstheme="minorEastAsia"/>
          <w:color w:val="000000"/>
          <w:sz w:val="28"/>
          <w:szCs w:val="28"/>
          <w:lang w:val="en-US" w:eastAsia="zh-CN"/>
        </w:rPr>
        <w:t>3T</w:t>
      </w:r>
      <w:r>
        <w:rPr>
          <w:rFonts w:hint="eastAsia" w:asciiTheme="minorEastAsia" w:hAnsiTheme="minorEastAsia" w:eastAsiaTheme="minorEastAsia" w:cstheme="minorEastAsia"/>
          <w:color w:val="000000"/>
          <w:sz w:val="28"/>
          <w:szCs w:val="28"/>
          <w:lang w:eastAsia="zh-CN"/>
        </w:rPr>
        <w:t>的监控硬盘设备，保证一个月的监控视频存量以备不时之需</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年区机关大院盗窃事件、火灾事故零发生。</w:t>
      </w:r>
    </w:p>
    <w:p w14:paraId="393228A8">
      <w:pPr>
        <w:keepNext w:val="0"/>
        <w:keepLines w:val="0"/>
        <w:pageBreakBefore w:val="0"/>
        <w:widowControl w:val="0"/>
        <w:kinsoku/>
        <w:wordWrap/>
        <w:overflowPunct/>
        <w:topLinePunct w:val="0"/>
        <w:bidi w:val="0"/>
        <w:adjustRightInd/>
        <w:snapToGrid/>
        <w:spacing w:before="0" w:after="0" w:line="540" w:lineRule="exact"/>
        <w:ind w:right="0" w:firstLine="562" w:firstLineChars="200"/>
        <w:textAlignment w:val="auto"/>
        <w:outlineLvl w:val="9"/>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bCs/>
          <w:color w:val="000000"/>
          <w:sz w:val="28"/>
          <w:szCs w:val="28"/>
        </w:rPr>
        <w:t>2、</w:t>
      </w:r>
      <w:r>
        <w:rPr>
          <w:rFonts w:hint="eastAsia" w:asciiTheme="minorEastAsia" w:hAnsiTheme="minorEastAsia" w:eastAsiaTheme="minorEastAsia" w:cstheme="minorEastAsia"/>
          <w:b/>
          <w:bCs/>
          <w:i w:val="0"/>
          <w:caps w:val="0"/>
          <w:color w:val="000000"/>
          <w:spacing w:val="0"/>
          <w:sz w:val="28"/>
          <w:szCs w:val="28"/>
          <w:shd w:val="clear" w:color="auto" w:fill="auto"/>
          <w:lang w:val="en-US" w:eastAsia="zh-CN"/>
        </w:rPr>
        <w:t>制度保障，绿化保洁长效到位。</w:t>
      </w:r>
      <w:r>
        <w:rPr>
          <w:rFonts w:hint="eastAsia" w:asciiTheme="minorEastAsia" w:hAnsiTheme="minorEastAsia" w:eastAsiaTheme="minorEastAsia" w:cstheme="minorEastAsia"/>
          <w:b w:val="0"/>
          <w:i w:val="0"/>
          <w:caps w:val="0"/>
          <w:color w:val="000000"/>
          <w:spacing w:val="0"/>
          <w:sz w:val="28"/>
          <w:szCs w:val="28"/>
          <w:shd w:val="clear" w:color="auto" w:fill="auto"/>
        </w:rPr>
        <w:t>坚持</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执行全天候的清扫保洁制度，特别是做好楼道、卫生间等重点部位的保洁工作，并</w:t>
      </w:r>
      <w:r>
        <w:rPr>
          <w:rFonts w:hint="eastAsia" w:asciiTheme="minorEastAsia" w:hAnsiTheme="minorEastAsia" w:eastAsiaTheme="minorEastAsia" w:cstheme="minorEastAsia"/>
          <w:b w:val="0"/>
          <w:i w:val="0"/>
          <w:caps w:val="0"/>
          <w:color w:val="000000"/>
          <w:spacing w:val="0"/>
          <w:sz w:val="28"/>
          <w:szCs w:val="28"/>
          <w:shd w:val="clear" w:color="auto" w:fill="auto"/>
        </w:rPr>
        <w:t>对</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清扫保洁</w:t>
      </w:r>
      <w:r>
        <w:rPr>
          <w:rFonts w:hint="eastAsia" w:asciiTheme="minorEastAsia" w:hAnsiTheme="minorEastAsia" w:eastAsiaTheme="minorEastAsia" w:cstheme="minorEastAsia"/>
          <w:b w:val="0"/>
          <w:i w:val="0"/>
          <w:caps w:val="0"/>
          <w:color w:val="000000"/>
          <w:spacing w:val="0"/>
          <w:sz w:val="28"/>
          <w:szCs w:val="28"/>
          <w:shd w:val="clear" w:color="auto" w:fill="auto"/>
        </w:rPr>
        <w:t>人员出勤到岗</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和清扫保洁</w:t>
      </w:r>
      <w:r>
        <w:rPr>
          <w:rFonts w:hint="eastAsia" w:asciiTheme="minorEastAsia" w:hAnsiTheme="minorEastAsia" w:eastAsiaTheme="minorEastAsia" w:cstheme="minorEastAsia"/>
          <w:b w:val="0"/>
          <w:i w:val="0"/>
          <w:caps w:val="0"/>
          <w:color w:val="000000"/>
          <w:spacing w:val="0"/>
          <w:sz w:val="28"/>
          <w:szCs w:val="28"/>
          <w:shd w:val="clear" w:color="auto" w:fill="auto"/>
        </w:rPr>
        <w:t>情况进行</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不定期检查，确保</w:t>
      </w:r>
      <w:r>
        <w:rPr>
          <w:rFonts w:hint="eastAsia" w:asciiTheme="minorEastAsia" w:hAnsiTheme="minorEastAsia" w:eastAsiaTheme="minorEastAsia" w:cstheme="minorEastAsia"/>
          <w:b w:val="0"/>
          <w:i w:val="0"/>
          <w:caps w:val="0"/>
          <w:color w:val="000000"/>
          <w:spacing w:val="0"/>
          <w:sz w:val="28"/>
          <w:szCs w:val="28"/>
          <w:shd w:val="clear" w:color="auto" w:fill="auto"/>
        </w:rPr>
        <w:t>清扫保洁</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工作</w:t>
      </w:r>
      <w:r>
        <w:rPr>
          <w:rFonts w:hint="eastAsia" w:asciiTheme="minorEastAsia" w:hAnsiTheme="minorEastAsia" w:eastAsiaTheme="minorEastAsia" w:cstheme="minorEastAsia"/>
          <w:b w:val="0"/>
          <w:i w:val="0"/>
          <w:caps w:val="0"/>
          <w:color w:val="000000"/>
          <w:spacing w:val="0"/>
          <w:sz w:val="28"/>
          <w:szCs w:val="28"/>
          <w:shd w:val="clear" w:color="auto" w:fill="auto"/>
        </w:rPr>
        <w:t>到位</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，保证机关大院环境卫生干净整洁。加强对树木草坪的管养，定期修剪、除杂、施肥，确保大院绿化覆盖率。</w:t>
      </w:r>
    </w:p>
    <w:p w14:paraId="15795621">
      <w:pPr>
        <w:keepNext w:val="0"/>
        <w:keepLines w:val="0"/>
        <w:pageBreakBefore w:val="0"/>
        <w:widowControl w:val="0"/>
        <w:kinsoku/>
        <w:wordWrap/>
        <w:overflowPunct/>
        <w:topLinePunct w:val="0"/>
        <w:bidi w:val="0"/>
        <w:adjustRightInd/>
        <w:snapToGrid/>
        <w:spacing w:before="0" w:after="0" w:line="540" w:lineRule="exact"/>
        <w:ind w:right="0" w:firstLine="562" w:firstLineChars="200"/>
        <w:jc w:val="both"/>
        <w:textAlignment w:val="auto"/>
        <w:outlineLvl w:val="9"/>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color w:val="000000"/>
          <w:sz w:val="28"/>
          <w:szCs w:val="28"/>
        </w:rPr>
        <w:t>3、</w:t>
      </w:r>
      <w:r>
        <w:rPr>
          <w:rFonts w:hint="eastAsia" w:asciiTheme="minorEastAsia" w:hAnsiTheme="minorEastAsia" w:eastAsiaTheme="minorEastAsia" w:cstheme="minorEastAsia"/>
          <w:b/>
          <w:bCs w:val="0"/>
          <w:i w:val="0"/>
          <w:caps w:val="0"/>
          <w:color w:val="000000"/>
          <w:spacing w:val="0"/>
          <w:sz w:val="28"/>
          <w:szCs w:val="28"/>
          <w:shd w:val="clear" w:color="auto" w:fill="auto"/>
          <w:lang w:val="en-US" w:eastAsia="zh-CN"/>
        </w:rPr>
        <w:t>加强管护，会务保障周密细致。</w:t>
      </w:r>
      <w:r>
        <w:rPr>
          <w:rFonts w:hint="eastAsia" w:asciiTheme="minorEastAsia" w:hAnsiTheme="minorEastAsia" w:eastAsiaTheme="minorEastAsia" w:cstheme="minorEastAsia"/>
          <w:b w:val="0"/>
          <w:i w:val="0"/>
          <w:caps w:val="0"/>
          <w:color w:val="000000"/>
          <w:spacing w:val="0"/>
          <w:sz w:val="28"/>
          <w:szCs w:val="28"/>
          <w:shd w:val="clear" w:color="auto" w:fill="auto"/>
        </w:rPr>
        <w:t>加强</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对</w:t>
      </w:r>
      <w:r>
        <w:rPr>
          <w:rFonts w:hint="eastAsia" w:asciiTheme="minorEastAsia" w:hAnsiTheme="minorEastAsia" w:eastAsiaTheme="minorEastAsia" w:cstheme="minorEastAsia"/>
          <w:b w:val="0"/>
          <w:i w:val="0"/>
          <w:caps w:val="0"/>
          <w:color w:val="000000"/>
          <w:spacing w:val="0"/>
          <w:sz w:val="28"/>
          <w:szCs w:val="28"/>
          <w:shd w:val="clear" w:color="auto" w:fill="auto"/>
        </w:rPr>
        <w:t>会议</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室</w:t>
      </w:r>
      <w:r>
        <w:rPr>
          <w:rFonts w:hint="eastAsia" w:asciiTheme="minorEastAsia" w:hAnsiTheme="minorEastAsia" w:eastAsiaTheme="minorEastAsia" w:cstheme="minorEastAsia"/>
          <w:b w:val="0"/>
          <w:i w:val="0"/>
          <w:caps w:val="0"/>
          <w:color w:val="000000"/>
          <w:spacing w:val="0"/>
          <w:sz w:val="28"/>
          <w:szCs w:val="28"/>
          <w:shd w:val="clear" w:color="auto" w:fill="auto"/>
        </w:rPr>
        <w:t>设备设施维护、升级和日常管理，改善会议条件，</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更换了区机关主楼五楼会议室的调音台和投影灯，同时维修了音箱设备。更新了三号楼四楼会议室的音响设备。</w:t>
      </w:r>
      <w:r>
        <w:rPr>
          <w:rFonts w:hint="eastAsia" w:asciiTheme="minorEastAsia" w:hAnsiTheme="minorEastAsia" w:eastAsiaTheme="minorEastAsia" w:cstheme="minorEastAsia"/>
          <w:b w:val="0"/>
          <w:i w:val="0"/>
          <w:caps w:val="0"/>
          <w:color w:val="000000"/>
          <w:spacing w:val="0"/>
          <w:sz w:val="28"/>
          <w:szCs w:val="28"/>
          <w:shd w:val="clear" w:color="auto" w:fill="auto"/>
        </w:rPr>
        <w:t>积极配合有关单位和部门，做好全区大型会议的会场布置、会务筹备、会议协调</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等</w:t>
      </w:r>
      <w:r>
        <w:rPr>
          <w:rFonts w:hint="eastAsia" w:asciiTheme="minorEastAsia" w:hAnsiTheme="minorEastAsia" w:eastAsiaTheme="minorEastAsia" w:cstheme="minorEastAsia"/>
          <w:b w:val="0"/>
          <w:i w:val="0"/>
          <w:caps w:val="0"/>
          <w:color w:val="000000"/>
          <w:spacing w:val="0"/>
          <w:sz w:val="28"/>
          <w:szCs w:val="28"/>
          <w:shd w:val="clear" w:color="auto" w:fill="auto"/>
        </w:rPr>
        <w:t>各项工作</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，为全区性的重要会议有效召开提供了严密细致的会务保障。</w:t>
      </w:r>
    </w:p>
    <w:p w14:paraId="1B925EC8">
      <w:pPr>
        <w:spacing w:line="56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4、</w:t>
      </w:r>
      <w:r>
        <w:rPr>
          <w:rFonts w:hint="eastAsia" w:asciiTheme="minorEastAsia" w:hAnsiTheme="minorEastAsia" w:eastAsiaTheme="minorEastAsia" w:cstheme="minorEastAsia"/>
          <w:b/>
          <w:bCs/>
          <w:sz w:val="28"/>
          <w:szCs w:val="28"/>
          <w:lang w:val="en-US" w:eastAsia="zh-CN"/>
        </w:rPr>
        <w:t>及时完善，基建维修稳中求安。</w:t>
      </w:r>
      <w:r>
        <w:rPr>
          <w:rFonts w:hint="eastAsia" w:asciiTheme="minorEastAsia" w:hAnsiTheme="minorEastAsia" w:eastAsiaTheme="minorEastAsia" w:cstheme="minorEastAsia"/>
          <w:b w:val="0"/>
          <w:bCs w:val="0"/>
          <w:sz w:val="28"/>
          <w:szCs w:val="28"/>
          <w:lang w:val="en-US" w:eastAsia="zh-CN"/>
        </w:rPr>
        <w:t>为机关大院的水电维修提供及时的服务，确保各项工作的用水用电需求。简装了区总值班室，保证了值班人员的工作与休息需求。维修了区机关主楼五楼和一楼的显示屏，保证了电子宣传内容的顺利播放。维修改造了公务车驾驶员休息室楼梯，保障了人员上下楼梯的安全。维修改造了人才公寓，配备了家具家电等生活用品，为我区引进优秀人才提供了温馨、舒适的居住环境。增加了110米50平方毫米的变压器电缆线，解决供电负荷问题，保证机关大院夏季高峰的用电安全。11月，还联系供电部门对变压器进行了保养维修，保障其安全高效运转。对大院四周围墙上的破损照明灯全部进行了更新更换。</w:t>
      </w:r>
    </w:p>
    <w:p w14:paraId="21C8672D">
      <w:pPr>
        <w:widowControl/>
        <w:shd w:val="clear" w:color="050000" w:fill="FFFFFF"/>
        <w:spacing w:line="560" w:lineRule="exact"/>
        <w:ind w:left="-150" w:right="-150" w:firstLine="562" w:firstLineChars="200"/>
        <w:jc w:val="left"/>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bCs/>
          <w:sz w:val="28"/>
          <w:szCs w:val="28"/>
        </w:rPr>
        <w:t xml:space="preserve"> 5、</w:t>
      </w:r>
      <w:r>
        <w:rPr>
          <w:rFonts w:hint="eastAsia" w:asciiTheme="minorEastAsia" w:hAnsiTheme="minorEastAsia" w:eastAsiaTheme="minorEastAsia" w:cstheme="minorEastAsia"/>
          <w:b/>
          <w:bCs/>
          <w:sz w:val="28"/>
          <w:szCs w:val="28"/>
          <w:lang w:val="en-US" w:eastAsia="zh-CN"/>
        </w:rPr>
        <w:t>多措并举</w:t>
      </w:r>
      <w:r>
        <w:rPr>
          <w:rFonts w:hint="eastAsia" w:asciiTheme="minorEastAsia" w:hAnsiTheme="minorEastAsia" w:eastAsiaTheme="minorEastAsia" w:cstheme="minorEastAsia"/>
          <w:b/>
          <w:bCs/>
          <w:i w:val="0"/>
          <w:caps w:val="0"/>
          <w:color w:val="000000"/>
          <w:spacing w:val="0"/>
          <w:sz w:val="28"/>
          <w:szCs w:val="28"/>
          <w:shd w:val="clear" w:color="auto" w:fill="auto"/>
          <w:lang w:eastAsia="zh-CN"/>
        </w:rPr>
        <w:t>，公车管理高效规范</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着力加强公务用车保障平台建设，做到便捷派车、高效用车、透明管车、有效督车。2018年购置一台别克商务车，拍卖6台公务用车，报废一台，公车资源得到优化配置，节约了运行成本，提高了运行效率。</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安装了公务车车位地锁，有效地实现公车专位停放。为</w:t>
      </w:r>
      <w:r>
        <w:rPr>
          <w:rFonts w:hint="eastAsia" w:asciiTheme="minorEastAsia" w:hAnsiTheme="minorEastAsia" w:cstheme="minorEastAsia"/>
          <w:b w:val="0"/>
          <w:i w:val="0"/>
          <w:caps w:val="0"/>
          <w:color w:val="000000"/>
          <w:spacing w:val="0"/>
          <w:sz w:val="28"/>
          <w:szCs w:val="28"/>
          <w:shd w:val="clear" w:color="auto" w:fill="auto"/>
          <w:lang w:eastAsia="zh-CN"/>
        </w:rPr>
        <w:t>防范化解重大风险、精准脱贫、污染防治</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、文明城市创建等重点工作应急用车提供安全高效的保障服务。</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联合区纪委、区交警部门，在重大节假日期间对公务用车情况进行明察暗访，杜绝公车私用、违规用车。为保障公务车安全运行，定期对车辆进行车况检查。定期召开驾驶员会议，组织驾驶员学习培训，敲响他们的安全警钟，警醒驾驶员确保安全、文明出车，杜绝违规用车，</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为全区高质量发展提供高效安全的公务出行保障。</w:t>
      </w:r>
    </w:p>
    <w:p w14:paraId="183531B5">
      <w:pPr>
        <w:keepNext w:val="0"/>
        <w:keepLines w:val="0"/>
        <w:pageBreakBefore w:val="0"/>
        <w:widowControl w:val="0"/>
        <w:numPr>
          <w:ilvl w:val="0"/>
          <w:numId w:val="0"/>
        </w:numPr>
        <w:kinsoku/>
        <w:wordWrap/>
        <w:overflowPunct/>
        <w:topLinePunct w:val="0"/>
        <w:bidi w:val="0"/>
        <w:adjustRightInd/>
        <w:snapToGrid/>
        <w:spacing w:before="0" w:after="0" w:line="540" w:lineRule="exact"/>
        <w:ind w:right="0" w:firstLine="562" w:firstLineChars="200"/>
        <w:textAlignment w:val="auto"/>
        <w:outlineLvl w:val="9"/>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bCs/>
          <w:sz w:val="28"/>
          <w:szCs w:val="28"/>
          <w:lang w:val="en-US" w:eastAsia="zh-CN"/>
        </w:rPr>
        <w:t>6、精准管理</w:t>
      </w:r>
      <w:r>
        <w:rPr>
          <w:rFonts w:hint="eastAsia" w:asciiTheme="minorEastAsia" w:hAnsiTheme="minorEastAsia" w:eastAsiaTheme="minorEastAsia" w:cstheme="minorEastAsia"/>
          <w:b/>
          <w:bCs/>
          <w:i w:val="0"/>
          <w:caps w:val="0"/>
          <w:color w:val="191919"/>
          <w:spacing w:val="0"/>
          <w:sz w:val="28"/>
          <w:szCs w:val="28"/>
          <w:shd w:val="clear" w:color="080000" w:fill="FFFFFF"/>
          <w:lang w:val="en-US" w:eastAsia="zh-CN"/>
        </w:rPr>
        <w:t>，食堂服务优质周到</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经过招标，食品原料供应商采阳园超市有限公司今年与我局续签合同。根据《黄石港区机关食堂管理制度》，我局</w:t>
      </w:r>
      <w:r>
        <w:rPr>
          <w:rFonts w:hint="eastAsia" w:asciiTheme="minorEastAsia" w:hAnsiTheme="minorEastAsia" w:eastAsiaTheme="minorEastAsia" w:cstheme="minorEastAsia"/>
          <w:b w:val="0"/>
          <w:i w:val="0"/>
          <w:caps w:val="0"/>
          <w:color w:val="000000"/>
          <w:spacing w:val="0"/>
          <w:sz w:val="28"/>
          <w:szCs w:val="28"/>
          <w:shd w:val="clear" w:color="auto" w:fill="auto"/>
        </w:rPr>
        <w:t>严把进货关</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，定时进行食材市场价格调查，严格控制支出。</w:t>
      </w:r>
      <w:r>
        <w:rPr>
          <w:rFonts w:hint="eastAsia" w:asciiTheme="minorEastAsia" w:hAnsiTheme="minorEastAsia" w:eastAsiaTheme="minorEastAsia" w:cstheme="minorEastAsia"/>
          <w:b w:val="0"/>
          <w:i w:val="0"/>
          <w:caps w:val="0"/>
          <w:color w:val="000000"/>
          <w:spacing w:val="0"/>
          <w:sz w:val="28"/>
          <w:szCs w:val="28"/>
          <w:shd w:val="clear" w:color="auto" w:fill="auto"/>
        </w:rPr>
        <w:t>严把卫生关</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，督促工作人员</w:t>
      </w:r>
      <w:r>
        <w:rPr>
          <w:rFonts w:hint="eastAsia" w:asciiTheme="minorEastAsia" w:hAnsiTheme="minorEastAsia" w:eastAsiaTheme="minorEastAsia" w:cstheme="minorEastAsia"/>
          <w:b w:val="0"/>
          <w:i w:val="0"/>
          <w:caps w:val="0"/>
          <w:color w:val="000000"/>
          <w:spacing w:val="0"/>
          <w:sz w:val="28"/>
          <w:szCs w:val="28"/>
          <w:shd w:val="clear" w:color="auto" w:fill="auto"/>
        </w:rPr>
        <w:t>对餐具做到一洗、二刷、三冲、四消毒，每天对操作间、餐厅卫生及时清理，每周一次大清</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扫，定期厨具换新，确保卫生达标。严把服务关，不断改善服务质量，安排服务</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人员盛饭打汤，做到卫生快捷安全。</w:t>
      </w:r>
      <w:r>
        <w:rPr>
          <w:rFonts w:hint="eastAsia" w:asciiTheme="minorEastAsia" w:hAnsiTheme="minorEastAsia" w:eastAsiaTheme="minorEastAsia" w:cstheme="minorEastAsia"/>
          <w:b w:val="0"/>
          <w:i w:val="0"/>
          <w:caps w:val="0"/>
          <w:color w:val="000000"/>
          <w:spacing w:val="0"/>
          <w:sz w:val="28"/>
          <w:szCs w:val="28"/>
          <w:shd w:val="clear" w:color="auto" w:fill="auto"/>
        </w:rPr>
        <w:t>严把监督关</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联合千喜鹤餐饮公司进行每季度一次的机关食堂群众满意度测评，广泛听取干部职工的意见和建议，获得了平均97%的满意度测评结果。</w:t>
      </w:r>
    </w:p>
    <w:p w14:paraId="5AA543EE">
      <w:pPr>
        <w:pStyle w:val="4"/>
        <w:keepNext w:val="0"/>
        <w:keepLines w:val="0"/>
        <w:pageBreakBefore w:val="0"/>
        <w:widowControl/>
        <w:suppressLineNumbers w:val="0"/>
        <w:kinsoku/>
        <w:overflowPunct/>
        <w:topLinePunct w:val="0"/>
        <w:bidi w:val="0"/>
        <w:spacing w:before="0" w:beforeAutospacing="0" w:after="0" w:afterAutospacing="0" w:line="540" w:lineRule="exact"/>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7、全盘把控</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办公用房管理提质增效</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eastAsiaTheme="minorEastAsia" w:cstheme="minorEastAsia"/>
          <w:b w:val="0"/>
          <w:i w:val="0"/>
          <w:caps w:val="0"/>
          <w:color w:val="000000"/>
          <w:spacing w:val="0"/>
          <w:kern w:val="2"/>
          <w:sz w:val="28"/>
          <w:szCs w:val="28"/>
          <w:shd w:val="clear" w:color="auto" w:fill="auto"/>
          <w:lang w:val="en-US" w:eastAsia="zh-CN" w:bidi="ar-SA"/>
        </w:rPr>
        <w:t>根据党政机关办公用房配备标准，年初在全区各单位进行办公用房自查的基础上，充分发挥机关事务管理部门对办公用房核定、调剂、权属登记、动态管理、督促检查职能，摸清全区各单位实际办公人数，进一步核准核实各单位办公用房面积。8月底，召开港区党政机关办公用房管理信息系统培训会，正式启动港区党政机关办公用房管理信息系统建设工作。9月、10月指导督促各单位各部门填报办公用房相关数据。11月份，汇总全区办公用房电子数据并上报市机关事务管理局，顺利推进了全省“一张网”建设。</w:t>
      </w:r>
    </w:p>
    <w:p w14:paraId="188F9EB4">
      <w:pPr>
        <w:keepNext w:val="0"/>
        <w:keepLines w:val="0"/>
        <w:pageBreakBefore w:val="0"/>
        <w:widowControl w:val="0"/>
        <w:kinsoku/>
        <w:wordWrap/>
        <w:overflowPunct/>
        <w:topLinePunct w:val="0"/>
        <w:bidi w:val="0"/>
        <w:adjustRightInd/>
        <w:snapToGrid/>
        <w:spacing w:before="0" w:after="0" w:line="540" w:lineRule="exact"/>
        <w:ind w:right="0" w:firstLine="281" w:firstLineChars="100"/>
        <w:textAlignment w:val="auto"/>
        <w:outlineLvl w:val="9"/>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bCs/>
          <w:i w:val="0"/>
          <w:caps w:val="0"/>
          <w:color w:val="000000"/>
          <w:spacing w:val="0"/>
          <w:sz w:val="28"/>
          <w:szCs w:val="28"/>
          <w:shd w:val="clear" w:color="auto" w:fill="auto"/>
          <w:lang w:val="en-US" w:eastAsia="zh-CN"/>
        </w:rPr>
        <w:t xml:space="preserve">  8、宣传示范，机构节能切实推进</w:t>
      </w:r>
      <w:r>
        <w:rPr>
          <w:rFonts w:hint="eastAsia" w:asciiTheme="minorEastAsia" w:hAnsiTheme="minorEastAsia" w:eastAsiaTheme="minorEastAsia" w:cstheme="minorEastAsia"/>
          <w:b/>
          <w:bCs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完成了201</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7</w:t>
      </w:r>
      <w:r>
        <w:rPr>
          <w:rFonts w:hint="eastAsia" w:asciiTheme="minorEastAsia" w:hAnsiTheme="minorEastAsia" w:eastAsiaTheme="minorEastAsia" w:cstheme="minorEastAsia"/>
          <w:b w:val="0"/>
          <w:i w:val="0"/>
          <w:caps w:val="0"/>
          <w:color w:val="000000"/>
          <w:spacing w:val="0"/>
          <w:sz w:val="28"/>
          <w:szCs w:val="28"/>
          <w:shd w:val="clear" w:color="auto" w:fill="auto"/>
        </w:rPr>
        <w:t>年</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黄石港区</w:t>
      </w:r>
      <w:r>
        <w:rPr>
          <w:rFonts w:hint="eastAsia" w:asciiTheme="minorEastAsia" w:hAnsiTheme="minorEastAsia" w:eastAsiaTheme="minorEastAsia" w:cstheme="minorEastAsia"/>
          <w:b w:val="0"/>
          <w:i w:val="0"/>
          <w:caps w:val="0"/>
          <w:color w:val="000000"/>
          <w:spacing w:val="0"/>
          <w:sz w:val="28"/>
          <w:szCs w:val="28"/>
          <w:shd w:val="clear" w:color="auto" w:fill="auto"/>
        </w:rPr>
        <w:t>公共机构能源资源消费统计</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数据</w:t>
      </w:r>
      <w:r>
        <w:rPr>
          <w:rFonts w:hint="eastAsia" w:asciiTheme="minorEastAsia" w:hAnsiTheme="minorEastAsia" w:eastAsiaTheme="minorEastAsia" w:cstheme="minorEastAsia"/>
          <w:b w:val="0"/>
          <w:i w:val="0"/>
          <w:caps w:val="0"/>
          <w:color w:val="000000"/>
          <w:spacing w:val="0"/>
          <w:sz w:val="28"/>
          <w:szCs w:val="28"/>
          <w:shd w:val="clear" w:color="auto" w:fill="auto"/>
        </w:rPr>
        <w:t>的录入报送</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2018年6月13日“全国低碳日”当天，关闭公共区域照明，将节能工作体现到具体日常工作中，</w:t>
      </w:r>
      <w:r>
        <w:rPr>
          <w:rFonts w:hint="eastAsia" w:asciiTheme="minorEastAsia" w:hAnsiTheme="minorEastAsia" w:eastAsiaTheme="minorEastAsia" w:cstheme="minorEastAsia"/>
          <w:b w:val="0"/>
          <w:i w:val="0"/>
          <w:caps w:val="0"/>
          <w:color w:val="000000"/>
          <w:spacing w:val="0"/>
          <w:sz w:val="28"/>
          <w:szCs w:val="28"/>
          <w:shd w:val="clear" w:color="auto" w:fill="auto"/>
        </w:rPr>
        <w:t>倡导</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机关干部</w:t>
      </w:r>
      <w:r>
        <w:rPr>
          <w:rFonts w:hint="eastAsia" w:asciiTheme="minorEastAsia" w:hAnsiTheme="minorEastAsia" w:eastAsiaTheme="minorEastAsia" w:cstheme="minorEastAsia"/>
          <w:b w:val="0"/>
          <w:i w:val="0"/>
          <w:caps w:val="0"/>
          <w:color w:val="000000"/>
          <w:spacing w:val="0"/>
          <w:sz w:val="28"/>
          <w:szCs w:val="28"/>
          <w:shd w:val="clear" w:color="auto" w:fill="auto"/>
        </w:rPr>
        <w:t>从身边的小事做起，珍惜每一度电、每一滴水、每一张纸、每一升油、每一件办公用品</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rPr>
        <w:t>在每个办公室</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开关处、</w:t>
      </w:r>
      <w:r>
        <w:rPr>
          <w:rFonts w:hint="eastAsia" w:asciiTheme="minorEastAsia" w:hAnsiTheme="minorEastAsia" w:eastAsiaTheme="minorEastAsia" w:cstheme="minorEastAsia"/>
          <w:b w:val="0"/>
          <w:i w:val="0"/>
          <w:caps w:val="0"/>
          <w:color w:val="000000"/>
          <w:spacing w:val="0"/>
          <w:sz w:val="28"/>
          <w:szCs w:val="28"/>
          <w:shd w:val="clear" w:color="auto" w:fill="auto"/>
        </w:rPr>
        <w:t>张贴“</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倡导节能环保</w:t>
      </w:r>
      <w:r>
        <w:rPr>
          <w:rFonts w:hint="eastAsia" w:asciiTheme="minorEastAsia" w:hAnsiTheme="minorEastAsia" w:eastAsiaTheme="minorEastAsia" w:cstheme="minorEastAsia"/>
          <w:b w:val="0"/>
          <w:i w:val="0"/>
          <w:caps w:val="0"/>
          <w:color w:val="000000"/>
          <w:spacing w:val="0"/>
          <w:sz w:val="28"/>
          <w:szCs w:val="28"/>
          <w:shd w:val="clear" w:color="auto" w:fill="auto"/>
        </w:rPr>
        <w:t>”的提示语，在卫生间醒目处张贴“</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倡导节能环保</w:t>
      </w:r>
      <w:r>
        <w:rPr>
          <w:rFonts w:hint="eastAsia" w:asciiTheme="minorEastAsia" w:hAnsiTheme="minorEastAsia" w:eastAsiaTheme="minorEastAsia" w:cstheme="minorEastAsia"/>
          <w:b w:val="0"/>
          <w:i w:val="0"/>
          <w:caps w:val="0"/>
          <w:color w:val="000000"/>
          <w:spacing w:val="0"/>
          <w:sz w:val="28"/>
          <w:szCs w:val="28"/>
          <w:shd w:val="clear" w:color="auto" w:fill="auto"/>
        </w:rPr>
        <w:t>”</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、“请随手关闭水龙头”</w:t>
      </w:r>
      <w:r>
        <w:rPr>
          <w:rFonts w:hint="eastAsia" w:asciiTheme="minorEastAsia" w:hAnsiTheme="minorEastAsia" w:eastAsiaTheme="minorEastAsia" w:cstheme="minorEastAsia"/>
          <w:b w:val="0"/>
          <w:i w:val="0"/>
          <w:caps w:val="0"/>
          <w:color w:val="000000"/>
          <w:spacing w:val="0"/>
          <w:sz w:val="28"/>
          <w:szCs w:val="28"/>
          <w:shd w:val="clear" w:color="auto" w:fill="auto"/>
        </w:rPr>
        <w:t>的温馨提示。</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组织开展停开空调体验活动，</w:t>
      </w:r>
      <w:r>
        <w:rPr>
          <w:rFonts w:hint="eastAsia" w:asciiTheme="minorEastAsia" w:hAnsiTheme="minorEastAsia" w:eastAsiaTheme="minorEastAsia" w:cstheme="minorEastAsia"/>
          <w:b w:val="0"/>
          <w:i w:val="0"/>
          <w:caps w:val="0"/>
          <w:color w:val="000000"/>
          <w:spacing w:val="0"/>
          <w:sz w:val="28"/>
          <w:szCs w:val="28"/>
          <w:shd w:val="clear" w:color="auto" w:fill="auto"/>
        </w:rPr>
        <w:t>杜绝浪费</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电能</w:t>
      </w:r>
      <w:r>
        <w:rPr>
          <w:rFonts w:hint="eastAsia" w:asciiTheme="minorEastAsia" w:hAnsiTheme="minorEastAsia" w:eastAsiaTheme="minorEastAsia" w:cstheme="minorEastAsia"/>
          <w:b w:val="0"/>
          <w:i w:val="0"/>
          <w:caps w:val="0"/>
          <w:color w:val="000000"/>
          <w:spacing w:val="0"/>
          <w:sz w:val="28"/>
          <w:szCs w:val="28"/>
          <w:shd w:val="clear" w:color="auto" w:fill="auto"/>
        </w:rPr>
        <w:t>现象</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。积极</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倡导各公共机构办公人员“绿色出行”，以绿色低碳的出行方式支持节能减排。</w:t>
      </w:r>
    </w:p>
    <w:p w14:paraId="0ADD1918">
      <w:pPr>
        <w:spacing w:line="620" w:lineRule="exact"/>
        <w:ind w:firstLine="568" w:firstLineChars="200"/>
        <w:jc w:val="left"/>
        <w:rPr>
          <w:rFonts w:hint="eastAsia" w:ascii="宋体" w:hAnsi="宋体" w:cs="宋体"/>
          <w:b w:val="0"/>
          <w:bCs/>
          <w:color w:val="000000"/>
          <w:spacing w:val="2"/>
          <w:sz w:val="28"/>
          <w:szCs w:val="28"/>
        </w:rPr>
      </w:pPr>
      <w:r>
        <w:rPr>
          <w:rFonts w:hint="eastAsia" w:ascii="宋体" w:hAnsi="宋体" w:cs="宋体"/>
          <w:b w:val="0"/>
          <w:bCs/>
          <w:color w:val="000000"/>
          <w:spacing w:val="2"/>
          <w:sz w:val="28"/>
          <w:szCs w:val="28"/>
          <w:lang w:eastAsia="zh-CN"/>
        </w:rPr>
        <w:t>（三）</w:t>
      </w:r>
      <w:r>
        <w:rPr>
          <w:rFonts w:hint="eastAsia" w:ascii="宋体" w:hAnsi="宋体" w:cs="宋体"/>
          <w:b w:val="0"/>
          <w:bCs/>
          <w:color w:val="000000"/>
          <w:spacing w:val="2"/>
          <w:sz w:val="28"/>
          <w:szCs w:val="28"/>
        </w:rPr>
        <w:t>人员情况</w:t>
      </w:r>
    </w:p>
    <w:p w14:paraId="3803C059">
      <w:pPr>
        <w:spacing w:line="560" w:lineRule="exact"/>
        <w:ind w:firstLine="560" w:firstLineChars="200"/>
        <w:rPr>
          <w:rFonts w:hint="default"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rPr>
        <w:t>201</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8</w:t>
      </w:r>
      <w:r>
        <w:rPr>
          <w:rFonts w:hint="eastAsia" w:asciiTheme="minorEastAsia" w:hAnsiTheme="minorEastAsia" w:eastAsiaTheme="minorEastAsia" w:cstheme="minorEastAsia"/>
          <w:b w:val="0"/>
          <w:i w:val="0"/>
          <w:caps w:val="0"/>
          <w:color w:val="000000"/>
          <w:spacing w:val="0"/>
          <w:sz w:val="28"/>
          <w:szCs w:val="28"/>
          <w:shd w:val="clear" w:color="auto" w:fill="auto"/>
        </w:rPr>
        <w:t>年我单位在职人员为11人，聘用人员</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7</w:t>
      </w:r>
      <w:r>
        <w:rPr>
          <w:rFonts w:hint="eastAsia" w:asciiTheme="minorEastAsia" w:hAnsiTheme="minorEastAsia" w:eastAsiaTheme="minorEastAsia" w:cstheme="minorEastAsia"/>
          <w:b w:val="0"/>
          <w:i w:val="0"/>
          <w:caps w:val="0"/>
          <w:color w:val="000000"/>
          <w:spacing w:val="0"/>
          <w:sz w:val="28"/>
          <w:szCs w:val="28"/>
          <w:shd w:val="clear" w:color="auto" w:fill="auto"/>
        </w:rPr>
        <w:t>人</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，公车保障平台司机</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14人。</w:t>
      </w:r>
    </w:p>
    <w:p w14:paraId="78386B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312F2E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3A56469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pPr>
    </w:p>
    <w:p w14:paraId="7C635F5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pPr>
    </w:p>
    <w:p w14:paraId="0AE6372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firstLine="480" w:firstLineChars="200"/>
        <w:jc w:val="left"/>
        <w:textAlignment w:val="auto"/>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2018年部门决算表</w:t>
      </w:r>
      <w:r>
        <w:drawing>
          <wp:inline distT="0" distB="0" distL="114300" distR="114300">
            <wp:extent cx="8829675" cy="4556760"/>
            <wp:effectExtent l="0" t="0" r="9525" b="152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srcRect l="780" t="1082" r="3420" b="3098"/>
                    <a:stretch>
                      <a:fillRect/>
                    </a:stretch>
                  </pic:blipFill>
                  <pic:spPr>
                    <a:xfrm>
                      <a:off x="0" y="0"/>
                      <a:ext cx="8829675" cy="4556760"/>
                    </a:xfrm>
                    <a:prstGeom prst="rect">
                      <a:avLst/>
                    </a:prstGeom>
                    <a:noFill/>
                    <a:ln>
                      <a:noFill/>
                    </a:ln>
                  </pic:spPr>
                </pic:pic>
              </a:graphicData>
            </a:graphic>
          </wp:inline>
        </w:drawing>
      </w:r>
      <w:r>
        <w:drawing>
          <wp:inline distT="0" distB="0" distL="114300" distR="114300">
            <wp:extent cx="8762365" cy="2490470"/>
            <wp:effectExtent l="0" t="0" r="63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18879"/>
                    <a:stretch>
                      <a:fillRect/>
                    </a:stretch>
                  </pic:blipFill>
                  <pic:spPr>
                    <a:xfrm>
                      <a:off x="0" y="0"/>
                      <a:ext cx="8762365" cy="2490470"/>
                    </a:xfrm>
                    <a:prstGeom prst="rect">
                      <a:avLst/>
                    </a:prstGeom>
                    <a:noFill/>
                    <a:ln>
                      <a:noFill/>
                    </a:ln>
                  </pic:spPr>
                </pic:pic>
              </a:graphicData>
            </a:graphic>
          </wp:inline>
        </w:drawing>
      </w:r>
    </w:p>
    <w:p w14:paraId="4989722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jc w:val="center"/>
      </w:pPr>
    </w:p>
    <w:p w14:paraId="1CB49F2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sectPr>
          <w:pgSz w:w="16838" w:h="11906" w:orient="landscape"/>
          <w:pgMar w:top="1800" w:right="1440" w:bottom="1800" w:left="1440" w:header="851" w:footer="992" w:gutter="0"/>
          <w:cols w:space="425" w:num="1"/>
          <w:docGrid w:type="lines" w:linePitch="312" w:charSpace="0"/>
        </w:sectPr>
      </w:pPr>
      <w:r>
        <w:drawing>
          <wp:inline distT="0" distB="0" distL="114300" distR="114300">
            <wp:extent cx="8736330" cy="22225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l="2259" b="2098"/>
                    <a:stretch>
                      <a:fillRect/>
                    </a:stretch>
                  </pic:blipFill>
                  <pic:spPr>
                    <a:xfrm>
                      <a:off x="0" y="0"/>
                      <a:ext cx="8736330" cy="2222500"/>
                    </a:xfrm>
                    <a:prstGeom prst="rect">
                      <a:avLst/>
                    </a:prstGeom>
                    <a:noFill/>
                    <a:ln>
                      <a:noFill/>
                    </a:ln>
                  </pic:spPr>
                </pic:pic>
              </a:graphicData>
            </a:graphic>
          </wp:inline>
        </w:drawing>
      </w:r>
    </w:p>
    <w:p w14:paraId="1807B6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8770620" cy="5408930"/>
            <wp:effectExtent l="0" t="0" r="1143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l="1113" t="-2642" r="1193" b="-2028"/>
                    <a:stretch>
                      <a:fillRect/>
                    </a:stretch>
                  </pic:blipFill>
                  <pic:spPr>
                    <a:xfrm>
                      <a:off x="0" y="0"/>
                      <a:ext cx="8770620" cy="5408930"/>
                    </a:xfrm>
                    <a:prstGeom prst="rect">
                      <a:avLst/>
                    </a:prstGeom>
                    <a:noFill/>
                    <a:ln>
                      <a:noFill/>
                    </a:ln>
                  </pic:spPr>
                </pic:pic>
              </a:graphicData>
            </a:graphic>
          </wp:inline>
        </w:drawing>
      </w:r>
    </w:p>
    <w:p w14:paraId="77BA52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r>
        <w:drawing>
          <wp:inline distT="0" distB="0" distL="114300" distR="114300">
            <wp:extent cx="8660765" cy="4577715"/>
            <wp:effectExtent l="0" t="0" r="698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l="2874" t="8658" r="11759" b="9199"/>
                    <a:stretch>
                      <a:fillRect/>
                    </a:stretch>
                  </pic:blipFill>
                  <pic:spPr>
                    <a:xfrm>
                      <a:off x="0" y="0"/>
                      <a:ext cx="8660765" cy="4577715"/>
                    </a:xfrm>
                    <a:prstGeom prst="rect">
                      <a:avLst/>
                    </a:prstGeom>
                    <a:noFill/>
                    <a:ln>
                      <a:noFill/>
                    </a:ln>
                  </pic:spPr>
                </pic:pic>
              </a:graphicData>
            </a:graphic>
          </wp:inline>
        </w:drawing>
      </w:r>
    </w:p>
    <w:p w14:paraId="7EC042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23048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r>
        <w:drawing>
          <wp:inline distT="0" distB="0" distL="114300" distR="114300">
            <wp:extent cx="8503285" cy="5321300"/>
            <wp:effectExtent l="0" t="0" r="1206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rcRect t="3156" b="3156"/>
                    <a:stretch>
                      <a:fillRect/>
                    </a:stretch>
                  </pic:blipFill>
                  <pic:spPr>
                    <a:xfrm>
                      <a:off x="0" y="0"/>
                      <a:ext cx="8503285" cy="5321300"/>
                    </a:xfrm>
                    <a:prstGeom prst="rect">
                      <a:avLst/>
                    </a:prstGeom>
                    <a:noFill/>
                    <a:ln>
                      <a:noFill/>
                    </a:ln>
                  </pic:spPr>
                </pic:pic>
              </a:graphicData>
            </a:graphic>
          </wp:inline>
        </w:drawing>
      </w:r>
    </w:p>
    <w:p w14:paraId="502931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8726170" cy="1977390"/>
            <wp:effectExtent l="0" t="0" r="177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726170" cy="1977390"/>
                    </a:xfrm>
                    <a:prstGeom prst="rect">
                      <a:avLst/>
                    </a:prstGeom>
                    <a:noFill/>
                    <a:ln>
                      <a:noFill/>
                    </a:ln>
                  </pic:spPr>
                </pic:pic>
              </a:graphicData>
            </a:graphic>
          </wp:inline>
        </w:drawing>
      </w:r>
    </w:p>
    <w:p w14:paraId="1CC5DD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A5711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sectPr>
          <w:pgSz w:w="16838" w:h="11906" w:orient="landscape"/>
          <w:pgMar w:top="1800" w:right="1440" w:bottom="1800" w:left="1440" w:header="851" w:footer="992" w:gutter="0"/>
          <w:cols w:space="425" w:num="1"/>
          <w:docGrid w:type="lines" w:linePitch="312" w:charSpace="0"/>
        </w:sectPr>
      </w:pPr>
      <w:r>
        <w:drawing>
          <wp:inline distT="0" distB="0" distL="114300" distR="114300">
            <wp:extent cx="8618855" cy="2691765"/>
            <wp:effectExtent l="0" t="0" r="10795" b="133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stretch>
                      <a:fillRect/>
                    </a:stretch>
                  </pic:blipFill>
                  <pic:spPr>
                    <a:xfrm>
                      <a:off x="0" y="0"/>
                      <a:ext cx="8618855" cy="2691765"/>
                    </a:xfrm>
                    <a:prstGeom prst="rect">
                      <a:avLst/>
                    </a:prstGeom>
                    <a:noFill/>
                    <a:ln>
                      <a:noFill/>
                    </a:ln>
                  </pic:spPr>
                </pic:pic>
              </a:graphicData>
            </a:graphic>
          </wp:inline>
        </w:drawing>
      </w:r>
    </w:p>
    <w:p w14:paraId="12C471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第三部分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年部门决算情况说明</w:t>
      </w:r>
    </w:p>
    <w:p w14:paraId="1B7ECA1B">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（一）预算执行情况分析</w:t>
      </w:r>
    </w:p>
    <w:p w14:paraId="2F8FDEDE">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rPr>
        <w:t>2018年财政收入预算数5071496元，其中人员经费3191859元，公用经费1879637元, 2018年财政支出预算数5071496元，其中人员经费3191859元，公用经费1879637元元, 2017年财政收入预算数13932371.98元，其中人员经费12049078元，公用经费1883293.98元, 2017年财政支出预算数13932371.98元，其中人员经费12049078元，公用经费1883293.98元, 2018年收入预算数安排比上年减少8860875.98元</w:t>
      </w:r>
      <w:r>
        <w:rPr>
          <w:rFonts w:hint="eastAsia" w:ascii="宋体" w:hAnsi="宋体"/>
          <w:color w:val="000000"/>
          <w:spacing w:val="2"/>
          <w:sz w:val="28"/>
          <w:szCs w:val="28"/>
          <w:lang w:eastAsia="zh-CN"/>
        </w:rPr>
        <w:t>，</w:t>
      </w:r>
      <w:r>
        <w:rPr>
          <w:rFonts w:hint="eastAsia" w:ascii="宋体" w:hAnsi="宋体"/>
          <w:color w:val="000000"/>
          <w:spacing w:val="2"/>
          <w:sz w:val="28"/>
          <w:szCs w:val="28"/>
        </w:rPr>
        <w:t>2018年支出预算数安排比上年减少8860875.98元。</w:t>
      </w:r>
    </w:p>
    <w:p w14:paraId="695E26DE">
      <w:pPr>
        <w:widowControl/>
        <w:ind w:firstLine="568" w:firstLineChars="200"/>
        <w:rPr>
          <w:rFonts w:hint="eastAsia"/>
          <w:color w:val="000000"/>
          <w:spacing w:val="2"/>
          <w:sz w:val="28"/>
          <w:szCs w:val="28"/>
        </w:rPr>
      </w:pPr>
      <w:r>
        <w:rPr>
          <w:rFonts w:hint="eastAsia"/>
          <w:color w:val="000000"/>
          <w:spacing w:val="2"/>
          <w:sz w:val="28"/>
          <w:szCs w:val="28"/>
        </w:rPr>
        <w:t>1</w:t>
      </w:r>
      <w:r>
        <w:rPr>
          <w:rFonts w:hint="eastAsia" w:hAnsi="宋体"/>
          <w:color w:val="000000"/>
          <w:spacing w:val="2"/>
          <w:sz w:val="28"/>
          <w:szCs w:val="28"/>
        </w:rPr>
        <w:t>、收入支出与预算对比分析</w:t>
      </w:r>
    </w:p>
    <w:p w14:paraId="29A09B4F">
      <w:pPr>
        <w:widowControl/>
        <w:ind w:firstLine="556" w:firstLineChars="196"/>
        <w:rPr>
          <w:rFonts w:hint="eastAsia"/>
          <w:color w:val="000000"/>
          <w:spacing w:val="2"/>
          <w:sz w:val="28"/>
          <w:szCs w:val="28"/>
        </w:rPr>
      </w:pPr>
      <w:r>
        <w:rPr>
          <w:rFonts w:hint="eastAsia" w:ascii="宋体" w:hAnsi="宋体"/>
          <w:color w:val="000000"/>
          <w:spacing w:val="2"/>
          <w:sz w:val="28"/>
          <w:szCs w:val="28"/>
        </w:rPr>
        <w:t>2018年全年总收入15438145.23元,其中财职决算收入15158469.29元,其它收入279675.94元, 2018年全年决算总支出15463754.23元,其中财职决算支出15158469.29元,其它资金支出305284.94元,2018年财政预算数5071496元，财拔决算比预算多10086973.29元,幅度为199%,原因为业务增加。</w:t>
      </w:r>
    </w:p>
    <w:p w14:paraId="71419534">
      <w:pPr>
        <w:spacing w:line="440" w:lineRule="exact"/>
        <w:ind w:firstLine="568" w:firstLineChars="200"/>
        <w:rPr>
          <w:rFonts w:hint="eastAsia"/>
          <w:color w:val="000000"/>
          <w:spacing w:val="2"/>
          <w:sz w:val="28"/>
          <w:szCs w:val="28"/>
        </w:rPr>
      </w:pPr>
      <w:r>
        <w:rPr>
          <w:rFonts w:hint="eastAsia"/>
          <w:color w:val="000000"/>
          <w:spacing w:val="2"/>
          <w:sz w:val="28"/>
          <w:szCs w:val="28"/>
        </w:rPr>
        <w:t>2</w:t>
      </w:r>
      <w:r>
        <w:rPr>
          <w:rFonts w:hint="eastAsia" w:hAnsi="宋体"/>
          <w:color w:val="000000"/>
          <w:spacing w:val="2"/>
          <w:sz w:val="28"/>
          <w:szCs w:val="28"/>
        </w:rPr>
        <w:t>、收入支出结构分析</w:t>
      </w:r>
    </w:p>
    <w:p w14:paraId="5A4A66FB">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lang w:eastAsia="zh-CN"/>
        </w:rPr>
        <w:t>（</w:t>
      </w:r>
      <w:r>
        <w:rPr>
          <w:rFonts w:hint="eastAsia" w:ascii="宋体" w:hAnsi="宋体"/>
          <w:color w:val="000000"/>
          <w:spacing w:val="2"/>
          <w:sz w:val="28"/>
          <w:szCs w:val="28"/>
        </w:rPr>
        <w:t>1</w:t>
      </w:r>
      <w:r>
        <w:rPr>
          <w:rFonts w:hint="eastAsia" w:ascii="宋体" w:hAnsi="宋体"/>
          <w:color w:val="000000"/>
          <w:spacing w:val="2"/>
          <w:sz w:val="28"/>
          <w:szCs w:val="28"/>
          <w:lang w:eastAsia="zh-CN"/>
        </w:rPr>
        <w:t>）</w:t>
      </w:r>
      <w:r>
        <w:rPr>
          <w:rFonts w:hint="eastAsia" w:ascii="宋体" w:hAnsi="宋体"/>
          <w:color w:val="000000"/>
          <w:spacing w:val="2"/>
          <w:sz w:val="28"/>
          <w:szCs w:val="28"/>
        </w:rPr>
        <w:t>2018年全年总收入15438145.23元,其中财职决算收入15158469.29元,其它收入279675.94元。</w:t>
      </w:r>
    </w:p>
    <w:p w14:paraId="5CAB600A">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2</w:t>
      </w:r>
      <w:r>
        <w:rPr>
          <w:rFonts w:hint="eastAsia" w:ascii="宋体" w:hAnsi="宋体"/>
          <w:color w:val="000000"/>
          <w:spacing w:val="2"/>
          <w:sz w:val="28"/>
          <w:szCs w:val="28"/>
          <w:lang w:eastAsia="zh-CN"/>
        </w:rPr>
        <w:t>）</w:t>
      </w:r>
      <w:r>
        <w:rPr>
          <w:rFonts w:hint="eastAsia" w:ascii="宋体" w:hAnsi="宋体"/>
          <w:color w:val="000000"/>
          <w:spacing w:val="2"/>
          <w:sz w:val="28"/>
          <w:szCs w:val="28"/>
        </w:rPr>
        <w:t>2018年全年决算总支出15463754.23元,其中财职决算支出15158469.29元,其它资金支出305284.94元，支出按以下分类说明：</w:t>
      </w:r>
    </w:p>
    <w:p w14:paraId="0A70E57E">
      <w:pPr>
        <w:widowControl/>
        <w:ind w:firstLine="556" w:firstLineChars="196"/>
        <w:rPr>
          <w:rFonts w:hint="eastAsia" w:ascii="宋体" w:hAnsi="宋体"/>
          <w:color w:val="000000"/>
          <w:spacing w:val="2"/>
          <w:sz w:val="28"/>
          <w:szCs w:val="28"/>
        </w:rPr>
      </w:pPr>
      <w:r>
        <w:rPr>
          <w:rFonts w:hint="default" w:ascii="宋体" w:hAnsi="宋体"/>
          <w:color w:val="000000"/>
          <w:spacing w:val="2"/>
          <w:sz w:val="28"/>
          <w:szCs w:val="28"/>
        </w:rPr>
        <w:t>①</w:t>
      </w:r>
      <w:r>
        <w:rPr>
          <w:rFonts w:hint="eastAsia" w:ascii="宋体" w:hAnsi="宋体"/>
          <w:color w:val="000000"/>
          <w:spacing w:val="2"/>
          <w:sz w:val="28"/>
          <w:szCs w:val="28"/>
        </w:rPr>
        <w:t>支出功能分类：15463754.23元; 政府办公厅（室）及相关机构事务15463754.23元</w:t>
      </w:r>
    </w:p>
    <w:p w14:paraId="66CC1BC9">
      <w:pPr>
        <w:widowControl/>
        <w:ind w:firstLine="556" w:firstLineChars="196"/>
        <w:rPr>
          <w:rFonts w:hint="eastAsia" w:ascii="宋体" w:hAnsi="宋体"/>
          <w:color w:val="000000"/>
          <w:spacing w:val="2"/>
          <w:sz w:val="28"/>
          <w:szCs w:val="28"/>
        </w:rPr>
      </w:pPr>
      <w:r>
        <w:rPr>
          <w:rFonts w:hint="default" w:ascii="宋体" w:hAnsi="宋体"/>
          <w:color w:val="000000"/>
          <w:spacing w:val="2"/>
          <w:sz w:val="28"/>
          <w:szCs w:val="28"/>
        </w:rPr>
        <w:t>②</w:t>
      </w:r>
      <w:r>
        <w:rPr>
          <w:rFonts w:hint="eastAsia" w:ascii="宋体" w:hAnsi="宋体"/>
          <w:color w:val="000000"/>
          <w:spacing w:val="2"/>
          <w:sz w:val="28"/>
          <w:szCs w:val="28"/>
        </w:rPr>
        <w:t>支出性质分类：15463754.23元，其中人员经费8146834.83元，公用经费7316919.4元</w:t>
      </w:r>
    </w:p>
    <w:p w14:paraId="642BBE9E">
      <w:pPr>
        <w:widowControl/>
        <w:ind w:firstLine="556" w:firstLineChars="196"/>
        <w:rPr>
          <w:rFonts w:hint="eastAsia" w:ascii="宋体" w:hAnsi="宋体"/>
          <w:color w:val="000000"/>
          <w:spacing w:val="2"/>
          <w:sz w:val="28"/>
          <w:szCs w:val="28"/>
        </w:rPr>
      </w:pPr>
      <w:r>
        <w:rPr>
          <w:rFonts w:hint="default" w:ascii="宋体" w:hAnsi="宋体"/>
          <w:color w:val="000000"/>
          <w:spacing w:val="2"/>
          <w:sz w:val="28"/>
          <w:szCs w:val="28"/>
        </w:rPr>
        <w:t>③</w:t>
      </w:r>
      <w:r>
        <w:rPr>
          <w:rFonts w:hint="eastAsia" w:ascii="宋体" w:hAnsi="宋体"/>
          <w:color w:val="000000"/>
          <w:spacing w:val="2"/>
          <w:sz w:val="28"/>
          <w:szCs w:val="28"/>
        </w:rPr>
        <w:t>支出经济分类：15463754.23元，其中工资福利支出 3808428.52元，商品服务支出6935235.4元，对个人和家庭的补助支出 4338406.31元，其它资本性支出 381684元。</w:t>
      </w:r>
    </w:p>
    <w:p w14:paraId="3407D400">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（二）关于“三公”经费支出说明</w:t>
      </w:r>
    </w:p>
    <w:p w14:paraId="562E1B41">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“三公”经费支出情况: 2018年“三公”经费决算总支出651755.08元，其中：公务车运行购置费247900元，本年度购置了一台商务用车，本年度发生运行维护费403855.08元。</w:t>
      </w:r>
      <w:r>
        <w:rPr>
          <w:rFonts w:hint="eastAsia" w:ascii="宋体" w:hAnsi="宋体"/>
          <w:color w:val="000000"/>
          <w:spacing w:val="2"/>
          <w:sz w:val="28"/>
          <w:szCs w:val="28"/>
          <w:lang w:val="en-US" w:eastAsia="zh-CN"/>
        </w:rPr>
        <w:t>2018年度</w:t>
      </w:r>
      <w:r>
        <w:rPr>
          <w:rFonts w:hint="eastAsia" w:ascii="宋体" w:hAnsi="宋体"/>
          <w:color w:val="000000"/>
          <w:spacing w:val="2"/>
          <w:sz w:val="28"/>
          <w:szCs w:val="28"/>
          <w:lang w:eastAsia="zh-CN"/>
        </w:rPr>
        <w:t>年初预算数970000.00元，决算数比预算数减少318244.92元，减少幅度为33%，本年度；公务接待费0元，年初预算数0元，决算数比预算数增加0元，增长幅度为0%；因公出国（境）费0元，预算数0元，决算数比预算数增加0元，增长幅度为0%；</w:t>
      </w:r>
    </w:p>
    <w:p w14:paraId="1FA7685A">
      <w:pPr>
        <w:widowControl/>
        <w:ind w:firstLine="556" w:firstLineChars="196"/>
        <w:rPr>
          <w:rFonts w:hint="default" w:ascii="宋体" w:hAnsi="宋体" w:eastAsiaTheme="minorEastAsia"/>
          <w:color w:val="000000"/>
          <w:spacing w:val="2"/>
          <w:sz w:val="28"/>
          <w:szCs w:val="28"/>
          <w:lang w:val="en-US" w:eastAsia="zh-CN"/>
        </w:rPr>
      </w:pPr>
      <w:r>
        <w:rPr>
          <w:rFonts w:hint="eastAsia" w:ascii="宋体" w:hAnsi="宋体"/>
          <w:color w:val="000000"/>
          <w:spacing w:val="2"/>
          <w:sz w:val="28"/>
          <w:szCs w:val="28"/>
          <w:lang w:eastAsia="zh-CN"/>
        </w:rPr>
        <w:t>2017年“三公”经费决算总支出363613.64元，其中：公务车运行维护费363613.64元，年初预算数970000.00元，决算数比预算数减少606386.36元，减少幅度为62.51%；公务接待费0元，年初预算数25000元，决算数比预算数增加0元，增长幅度为0%；因公出国（境）费0元，预算数0元，决算数比预算数增加0元，增长幅度为0%。</w:t>
      </w:r>
    </w:p>
    <w:p w14:paraId="2ED62A12">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（三）关于机关运行经费支出说明</w:t>
      </w:r>
    </w:p>
    <w:p w14:paraId="0E89BF85">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2018年机关运行经费支出7012010.4元,同比上年增加626677.03元，同比上年增加9.8%，原因是业务量增加。</w:t>
      </w:r>
    </w:p>
    <w:p w14:paraId="3FA6B1A9">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　（四）关于政府采购支出说明</w:t>
      </w:r>
    </w:p>
    <w:p w14:paraId="502BEC6C">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2018年政府采购总支出482035元，其中政府采购货物支出407963元，政府采购工程支出42100元，政府采购服务支出31972元。</w:t>
      </w:r>
    </w:p>
    <w:p w14:paraId="7C5876D3">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（五）关于国有资产占用情况说明</w:t>
      </w:r>
    </w:p>
    <w:p w14:paraId="6D447CAB">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截至2018年12月31日，本单位共有车辆24辆，其中领导干部用车0辆，一般公务用车24辆，一般执法执勤用车0辆，特种专业技术用车0辆，其它用车0辆。</w:t>
      </w:r>
    </w:p>
    <w:p w14:paraId="53BD07BF">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2017年12月31日，本单位共有车辆30辆，其中领导干部用车0辆，一般公务用车30辆，一般执法执勤用车0辆，特种专业技术用车0辆，其它用车0辆。2018年与2017年对比减少6辆车。</w:t>
      </w:r>
    </w:p>
    <w:p w14:paraId="34A4E767">
      <w:pPr>
        <w:widowControl/>
        <w:shd w:val="clear" w:color="auto" w:fill="FFFFFF"/>
        <w:ind w:firstLine="562" w:firstLineChars="2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（六）重点绩效评价结果等预算绩效情况说明</w:t>
      </w:r>
    </w:p>
    <w:p w14:paraId="31F2B364">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2018年， 根据预算绩效管理要求，我单位组织2018年度一般公共预算项目支出全面开展绩效自评，共涉及项目4个，资金27万元。 2018年项目资金投入27万元，已使用27万元，使用率100%。使用从评价结果看，项目立项程序完整、规范，预算执行及时、有效，绩效目标得到较好实现，绩效管理水平不断提高，绩效指标体系建设逐渐丰富和完善。</w:t>
      </w:r>
    </w:p>
    <w:p w14:paraId="20C4103D">
      <w:pPr>
        <w:widowControl/>
        <w:ind w:firstLine="556" w:firstLineChars="196"/>
        <w:rPr>
          <w:rFonts w:hint="eastAsia" w:ascii="宋体" w:hAnsi="宋体"/>
          <w:color w:val="000000"/>
          <w:spacing w:val="2"/>
          <w:sz w:val="28"/>
          <w:szCs w:val="28"/>
          <w:lang w:eastAsia="zh-CN"/>
        </w:rPr>
      </w:pPr>
    </w:p>
    <w:p w14:paraId="77771B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b/>
          <w:bCs w:val="0"/>
          <w:color w:val="333333"/>
          <w:sz w:val="24"/>
          <w:szCs w:val="24"/>
        </w:rPr>
      </w:pPr>
      <w:r>
        <w:rPr>
          <w:rStyle w:val="7"/>
          <w:rFonts w:hint="eastAsia" w:ascii="微软雅黑" w:hAnsi="微软雅黑" w:eastAsia="微软雅黑" w:cs="微软雅黑"/>
          <w:b/>
          <w:bCs w:val="0"/>
          <w:i w:val="0"/>
          <w:caps w:val="0"/>
          <w:color w:val="333333"/>
          <w:spacing w:val="0"/>
          <w:sz w:val="24"/>
          <w:szCs w:val="24"/>
          <w:shd w:val="clear" w:fill="FFFFFF"/>
        </w:rPr>
        <w:t>第四部分</w:t>
      </w:r>
      <w:r>
        <w:rPr>
          <w:rStyle w:val="7"/>
          <w:rFonts w:hint="eastAsia" w:ascii="微软雅黑" w:hAnsi="微软雅黑" w:eastAsia="微软雅黑" w:cs="微软雅黑"/>
          <w:b/>
          <w:bCs w:val="0"/>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b/>
          <w:bCs w:val="0"/>
          <w:i w:val="0"/>
          <w:caps w:val="0"/>
          <w:color w:val="333333"/>
          <w:spacing w:val="0"/>
          <w:sz w:val="24"/>
          <w:szCs w:val="24"/>
          <w:shd w:val="clear" w:fill="FFFFFF"/>
        </w:rPr>
        <w:t>名词解释</w:t>
      </w:r>
    </w:p>
    <w:p w14:paraId="60172054">
      <w:pPr>
        <w:ind w:firstLine="710" w:firstLineChars="250"/>
        <w:rPr>
          <w:rFonts w:ascii="宋体" w:hAnsi="宋体"/>
          <w:color w:val="000000"/>
          <w:spacing w:val="2"/>
          <w:sz w:val="28"/>
          <w:szCs w:val="28"/>
        </w:rPr>
      </w:pPr>
      <w:r>
        <w:rPr>
          <w:rFonts w:hint="eastAsia" w:ascii="宋体" w:hAnsi="宋体"/>
          <w:color w:val="000000"/>
          <w:spacing w:val="2"/>
          <w:sz w:val="28"/>
          <w:szCs w:val="28"/>
        </w:rPr>
        <w:t>（一）财政拨款（补助）：指省级财政当年拨付的资金。</w:t>
      </w:r>
    </w:p>
    <w:p w14:paraId="57A351A9">
      <w:pPr>
        <w:ind w:firstLine="710" w:firstLineChars="250"/>
        <w:rPr>
          <w:rFonts w:ascii="宋体" w:hAnsi="宋体"/>
          <w:color w:val="000000"/>
          <w:spacing w:val="2"/>
          <w:sz w:val="28"/>
          <w:szCs w:val="28"/>
        </w:rPr>
      </w:pPr>
      <w:r>
        <w:rPr>
          <w:rFonts w:hint="eastAsia" w:ascii="宋体" w:hAnsi="宋体"/>
          <w:color w:val="000000"/>
          <w:spacing w:val="2"/>
          <w:sz w:val="28"/>
          <w:szCs w:val="28"/>
        </w:rPr>
        <w:t>（二）事业收入：指事业单位开展专业业务活动及其辅助活动取得的收入。</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（三）其他收入：指预算单位在“财政拨款补助收入”、“事业收入”、“经营收入”以外取得的收入。</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（四）上年结转：指以前年度尚未完成、结转到本年仍按原规定用途继续使用的资金。</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（五）基本支出：指为保障机构正常运转、完成日常工作任务而发生的人员支出和公用支出。</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　（六）项目支出：指为完成特定的行政工作任务或事业发展目标，在基本支出之外发生的各项支出。</w:t>
      </w:r>
    </w:p>
    <w:p w14:paraId="0CE55D31">
      <w:pPr>
        <w:ind w:firstLine="710" w:firstLineChars="250"/>
        <w:rPr>
          <w:rFonts w:ascii="宋体" w:hAnsi="宋体"/>
          <w:color w:val="000000"/>
          <w:spacing w:val="2"/>
          <w:sz w:val="28"/>
          <w:szCs w:val="28"/>
        </w:rPr>
      </w:pPr>
      <w:r>
        <w:rPr>
          <w:rFonts w:hint="eastAsia" w:ascii="宋体" w:hAnsi="宋体"/>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5ECB7B97">
      <w:pPr>
        <w:ind w:firstLine="852" w:firstLineChars="300"/>
        <w:rPr>
          <w:rFonts w:ascii="宋体" w:hAnsi="宋体"/>
          <w:color w:val="000000"/>
          <w:spacing w:val="2"/>
          <w:sz w:val="28"/>
          <w:szCs w:val="28"/>
        </w:rPr>
      </w:pPr>
      <w:r>
        <w:rPr>
          <w:rFonts w:hint="eastAsia" w:ascii="宋体" w:hAnsi="宋体"/>
          <w:color w:val="000000"/>
          <w:spacing w:val="2"/>
          <w:sz w:val="28"/>
          <w:szCs w:val="28"/>
        </w:rPr>
        <w:t>（八）行政运行（项）：指机关和实行公务员法管理事业单位用于保障机构正常运转的基本支出。</w:t>
      </w:r>
    </w:p>
    <w:p w14:paraId="4B35E31E">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902C0"/>
    <w:rsid w:val="04CA693D"/>
    <w:rsid w:val="0664587B"/>
    <w:rsid w:val="08C015D3"/>
    <w:rsid w:val="0E836A5F"/>
    <w:rsid w:val="11ED78A0"/>
    <w:rsid w:val="228A65CA"/>
    <w:rsid w:val="255E033E"/>
    <w:rsid w:val="289C3E82"/>
    <w:rsid w:val="28EE6E7B"/>
    <w:rsid w:val="2B630D56"/>
    <w:rsid w:val="2C203A0A"/>
    <w:rsid w:val="2C2716FD"/>
    <w:rsid w:val="2D5063EA"/>
    <w:rsid w:val="32BD01BE"/>
    <w:rsid w:val="38046D33"/>
    <w:rsid w:val="38203263"/>
    <w:rsid w:val="3C2D5DD2"/>
    <w:rsid w:val="3CF427BE"/>
    <w:rsid w:val="489106AE"/>
    <w:rsid w:val="4BBC5AAB"/>
    <w:rsid w:val="514D2F0D"/>
    <w:rsid w:val="532D3F71"/>
    <w:rsid w:val="563E0CA4"/>
    <w:rsid w:val="60390F38"/>
    <w:rsid w:val="692B2102"/>
    <w:rsid w:val="70A32328"/>
    <w:rsid w:val="746766E2"/>
    <w:rsid w:val="768D6BB8"/>
    <w:rsid w:val="78186405"/>
    <w:rsid w:val="7CA927A7"/>
    <w:rsid w:val="7ED07DD9"/>
    <w:rsid w:val="7FFA0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9">
    <w:name w:val="ca-2"/>
    <w:basedOn w:val="6"/>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4208</Words>
  <Characters>4788</Characters>
  <Lines>0</Lines>
  <Paragraphs>0</Paragraphs>
  <TotalTime>11</TotalTime>
  <ScaleCrop>false</ScaleCrop>
  <LinksUpToDate>false</LinksUpToDate>
  <CharactersWithSpaces>4834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2024-12-18T02:49:42Z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2943CC9D155D4C768996A8541875E492_13</vt:lpwstr>
  </property>
</Properties>
</file>