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498EA">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黄石港区建设局20</w:t>
      </w:r>
      <w:r>
        <w:rPr>
          <w:rFonts w:hint="eastAsia" w:ascii="微软雅黑" w:hAnsi="微软雅黑" w:eastAsia="微软雅黑" w:cs="微软雅黑"/>
          <w:color w:val="BC1010"/>
          <w:sz w:val="40"/>
          <w:szCs w:val="40"/>
          <w:shd w:val="clear" w:color="auto" w:fill="FFFFFF"/>
          <w:lang w:val="en-US" w:eastAsia="zh-CN"/>
        </w:rPr>
        <w:t>21</w:t>
      </w:r>
      <w:r>
        <w:rPr>
          <w:rFonts w:ascii="微软雅黑" w:hAnsi="微软雅黑" w:eastAsia="微软雅黑" w:cs="微软雅黑"/>
          <w:color w:val="BC1010"/>
          <w:sz w:val="40"/>
          <w:szCs w:val="40"/>
          <w:shd w:val="clear" w:color="auto" w:fill="FFFFFF"/>
        </w:rPr>
        <w:t>年决算公开</w:t>
      </w:r>
    </w:p>
    <w:bookmarkEnd w:id="0"/>
    <w:p w14:paraId="7F069FD1">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黄石港区建设局20</w:t>
      </w:r>
      <w:r>
        <w:rPr>
          <w:rStyle w:val="11"/>
          <w:rFonts w:hint="eastAsia" w:ascii="微软雅黑" w:hAnsi="微软雅黑" w:eastAsia="微软雅黑" w:cs="微软雅黑"/>
          <w:color w:val="333333"/>
          <w:shd w:val="clear" w:color="auto" w:fill="FFFFFF"/>
          <w:lang w:val="en-US" w:eastAsia="zh-CN"/>
        </w:rPr>
        <w:t>21</w:t>
      </w:r>
      <w:r>
        <w:rPr>
          <w:rStyle w:val="11"/>
          <w:rFonts w:hint="eastAsia" w:ascii="微软雅黑" w:hAnsi="微软雅黑" w:eastAsia="微软雅黑" w:cs="微软雅黑"/>
          <w:color w:val="333333"/>
          <w:shd w:val="clear" w:color="auto" w:fill="FFFFFF"/>
        </w:rPr>
        <w:t>年决算公开</w:t>
      </w:r>
    </w:p>
    <w:p w14:paraId="04521FD7">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54F5E757">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第一部分:部门基本情况</w:t>
      </w:r>
    </w:p>
    <w:p w14:paraId="4FE2C9EF">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一、部门主要职责</w:t>
      </w:r>
    </w:p>
    <w:p w14:paraId="2F4B1AAE">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二、部门决算单位构成</w:t>
      </w:r>
    </w:p>
    <w:p w14:paraId="7BFF220F">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第二部分: 部门</w:t>
      </w:r>
      <w:r>
        <w:rPr>
          <w:rFonts w:hint="eastAsia" w:ascii="微软雅黑" w:hAnsi="微软雅黑" w:eastAsia="微软雅黑" w:cs="微软雅黑"/>
          <w:color w:val="333333"/>
          <w:shd w:val="clear" w:color="090000" w:fill="FFFFFF"/>
          <w:lang w:eastAsia="zh-CN"/>
        </w:rPr>
        <w:t>202</w:t>
      </w:r>
      <w:r>
        <w:rPr>
          <w:rFonts w:hint="eastAsia" w:ascii="微软雅黑" w:hAnsi="微软雅黑" w:eastAsia="微软雅黑" w:cs="微软雅黑"/>
          <w:color w:val="333333"/>
          <w:shd w:val="clear" w:color="090000" w:fill="FFFFFF"/>
          <w:lang w:val="en-US" w:eastAsia="zh-CN"/>
        </w:rPr>
        <w:t>1</w:t>
      </w:r>
      <w:r>
        <w:rPr>
          <w:rFonts w:hint="eastAsia" w:ascii="微软雅黑" w:hAnsi="微软雅黑" w:eastAsia="微软雅黑" w:cs="微软雅黑"/>
          <w:color w:val="333333"/>
          <w:shd w:val="clear" w:color="090000" w:fill="FFFFFF"/>
        </w:rPr>
        <w:t>年部门决算表</w:t>
      </w:r>
    </w:p>
    <w:p w14:paraId="68298778">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一、收入支出决算总表（表1）</w:t>
      </w:r>
    </w:p>
    <w:p w14:paraId="05B65671">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二、收入决算表（表2）</w:t>
      </w:r>
    </w:p>
    <w:p w14:paraId="680152C4">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三、支出决算表（表3）</w:t>
      </w:r>
    </w:p>
    <w:p w14:paraId="65A02D19">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四、财政拨款收入支出决算总表（表4）</w:t>
      </w:r>
    </w:p>
    <w:p w14:paraId="2479CD8A">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五、一般公共预算财政拨款支出决算表（表5）</w:t>
      </w:r>
    </w:p>
    <w:p w14:paraId="06CD0ACF">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六、一般公共预算财政拨款基本支出决算表（表6）</w:t>
      </w:r>
    </w:p>
    <w:p w14:paraId="0DDA24C2">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hint="eastAsia" w:ascii="微软雅黑" w:hAnsi="微软雅黑" w:eastAsia="微软雅黑" w:cs="微软雅黑"/>
          <w:color w:val="333333"/>
          <w:shd w:val="clear" w:color="090000" w:fill="FFFFFF"/>
        </w:rPr>
      </w:pPr>
      <w:r>
        <w:rPr>
          <w:rFonts w:hint="eastAsia" w:ascii="微软雅黑" w:hAnsi="微软雅黑" w:eastAsia="微软雅黑" w:cs="微软雅黑"/>
          <w:color w:val="333333"/>
          <w:shd w:val="clear" w:color="090000" w:fill="FFFFFF"/>
        </w:rPr>
        <w:t>七、一般公共预算财政拨款“三公”经费支出决算表（表7）</w:t>
      </w:r>
    </w:p>
    <w:p w14:paraId="64801C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40" w:lineRule="exact"/>
        <w:ind w:left="0" w:right="0" w:firstLine="420"/>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176309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2A05BC3A">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color w:val="333333"/>
        </w:rPr>
      </w:pPr>
      <w:r>
        <w:rPr>
          <w:rFonts w:hint="eastAsia" w:ascii="微软雅黑" w:hAnsi="微软雅黑" w:eastAsia="微软雅黑" w:cs="微软雅黑"/>
          <w:color w:val="333333"/>
          <w:shd w:val="clear" w:color="090000" w:fill="FFFFFF"/>
        </w:rPr>
        <w:t>第三部分：部门</w:t>
      </w:r>
      <w:r>
        <w:rPr>
          <w:rFonts w:hint="eastAsia" w:ascii="微软雅黑" w:hAnsi="微软雅黑" w:eastAsia="微软雅黑" w:cs="微软雅黑"/>
          <w:color w:val="333333"/>
          <w:shd w:val="clear" w:color="090000" w:fill="FFFFFF"/>
          <w:lang w:eastAsia="zh-CN"/>
        </w:rPr>
        <w:t>202</w:t>
      </w:r>
      <w:r>
        <w:rPr>
          <w:rFonts w:hint="eastAsia" w:ascii="微软雅黑" w:hAnsi="微软雅黑" w:eastAsia="微软雅黑" w:cs="微软雅黑"/>
          <w:color w:val="333333"/>
          <w:shd w:val="clear" w:color="090000" w:fill="FFFFFF"/>
          <w:lang w:val="en-US" w:eastAsia="zh-CN"/>
        </w:rPr>
        <w:t>1</w:t>
      </w:r>
      <w:r>
        <w:rPr>
          <w:rFonts w:hint="eastAsia" w:ascii="微软雅黑" w:hAnsi="微软雅黑" w:eastAsia="微软雅黑" w:cs="微软雅黑"/>
          <w:color w:val="333333"/>
          <w:shd w:val="clear" w:color="090000" w:fill="FFFFFF"/>
        </w:rPr>
        <w:t>年部门决算情况说明</w:t>
      </w:r>
    </w:p>
    <w:p w14:paraId="3DBF17D0">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一、预算执行情况分析</w:t>
      </w:r>
    </w:p>
    <w:p w14:paraId="4E33B200">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二、关于“三公”经费支出说明</w:t>
      </w:r>
    </w:p>
    <w:p w14:paraId="4AE0E783">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三、关于机关运行经费支出说明</w:t>
      </w:r>
    </w:p>
    <w:p w14:paraId="0AAEAE7C">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四、关于政府采购支出说明</w:t>
      </w:r>
    </w:p>
    <w:p w14:paraId="0D86B46B">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Fonts w:hint="eastAsia" w:ascii="微软雅黑" w:hAnsi="微软雅黑" w:eastAsia="微软雅黑" w:cs="微软雅黑"/>
          <w:color w:val="333333"/>
          <w:shd w:val="clear" w:color="080000" w:fill="FFFFFF"/>
        </w:rPr>
      </w:pPr>
      <w:r>
        <w:rPr>
          <w:rFonts w:hint="eastAsia" w:ascii="微软雅黑" w:hAnsi="微软雅黑" w:eastAsia="微软雅黑" w:cs="微软雅黑"/>
          <w:color w:val="333333"/>
          <w:shd w:val="clear" w:color="080000" w:fill="FFFFFF"/>
        </w:rPr>
        <w:t>五、关于国有资产占用情况说明</w:t>
      </w:r>
    </w:p>
    <w:p w14:paraId="098F5F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40" w:lineRule="exact"/>
        <w:ind w:left="0" w:right="0" w:firstLine="420"/>
        <w:jc w:val="left"/>
        <w:textAlignment w:val="auto"/>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24C2AD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40" w:lineRule="exact"/>
        <w:ind w:left="0" w:right="0" w:firstLine="420"/>
        <w:textAlignment w:val="auto"/>
        <w:rPr>
          <w:rFonts w:hint="eastAsia" w:ascii="微软雅黑" w:hAnsi="微软雅黑" w:eastAsia="微软雅黑" w:cs="微软雅黑"/>
          <w:color w:val="333333"/>
          <w:shd w:val="clear" w:color="08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3EE7AA6B">
      <w:pPr>
        <w:pStyle w:val="14"/>
        <w:keepNext w:val="0"/>
        <w:keepLines w:val="0"/>
        <w:pageBreakBefore w:val="0"/>
        <w:widowControl/>
        <w:kinsoku/>
        <w:wordWrap/>
        <w:overflowPunct/>
        <w:topLinePunct w:val="0"/>
        <w:autoSpaceDE/>
        <w:autoSpaceDN/>
        <w:bidi w:val="0"/>
        <w:adjustRightInd/>
        <w:snapToGrid/>
        <w:spacing w:before="76" w:beforeAutospacing="0" w:after="76" w:afterAutospacing="0" w:line="540" w:lineRule="exact"/>
        <w:ind w:firstLine="420"/>
        <w:textAlignment w:val="auto"/>
        <w:rPr>
          <w:rStyle w:val="11"/>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090000" w:fill="FFFFFF"/>
        </w:rPr>
        <w:t>第四部分：名词解释 </w:t>
      </w:r>
    </w:p>
    <w:p w14:paraId="79D38846">
      <w:pPr>
        <w:pStyle w:val="8"/>
        <w:widowControl/>
        <w:spacing w:before="76" w:beforeAutospacing="0" w:after="76" w:afterAutospacing="0" w:line="450" w:lineRule="atLeast"/>
        <w:jc w:val="center"/>
        <w:rPr>
          <w:color w:val="333333"/>
        </w:rPr>
      </w:pPr>
      <w:r>
        <w:rPr>
          <w:rStyle w:val="11"/>
          <w:rFonts w:hint="eastAsia" w:ascii="微软雅黑" w:hAnsi="微软雅黑" w:eastAsia="微软雅黑" w:cs="微软雅黑"/>
          <w:color w:val="333333"/>
          <w:shd w:val="clear" w:color="auto" w:fill="FFFFFF"/>
          <w:lang w:eastAsia="zh-CN"/>
        </w:rPr>
        <w:t>202</w:t>
      </w:r>
      <w:r>
        <w:rPr>
          <w:rStyle w:val="11"/>
          <w:rFonts w:hint="eastAsia" w:ascii="微软雅黑" w:hAnsi="微软雅黑" w:eastAsia="微软雅黑" w:cs="微软雅黑"/>
          <w:color w:val="333333"/>
          <w:shd w:val="clear" w:color="auto" w:fill="FFFFFF"/>
          <w:lang w:val="en-US" w:eastAsia="zh-CN"/>
        </w:rPr>
        <w:t>1</w:t>
      </w:r>
      <w:r>
        <w:rPr>
          <w:rStyle w:val="11"/>
          <w:rFonts w:hint="eastAsia" w:ascii="微软雅黑" w:hAnsi="微软雅黑" w:eastAsia="微软雅黑" w:cs="微软雅黑"/>
          <w:color w:val="333333"/>
          <w:shd w:val="clear" w:color="auto" w:fill="FFFFFF"/>
        </w:rPr>
        <w:t>年部门决算</w:t>
      </w:r>
    </w:p>
    <w:p w14:paraId="20D84AD0">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第一部分部门概况</w:t>
      </w:r>
    </w:p>
    <w:p w14:paraId="33A2E8B3">
      <w:pPr>
        <w:numPr>
          <w:ilvl w:val="0"/>
          <w:numId w:val="1"/>
        </w:numPr>
        <w:spacing w:line="560" w:lineRule="exact"/>
        <w:ind w:firstLine="488" w:firstLineChars="200"/>
        <w:rPr>
          <w:color w:val="000000"/>
          <w:spacing w:val="2"/>
          <w:sz w:val="24"/>
        </w:rPr>
      </w:pPr>
      <w:r>
        <w:rPr>
          <w:rFonts w:hint="eastAsia" w:hAnsi="宋体"/>
          <w:color w:val="000000"/>
          <w:spacing w:val="2"/>
          <w:sz w:val="24"/>
        </w:rPr>
        <w:t>主要职能</w:t>
      </w:r>
    </w:p>
    <w:p w14:paraId="476560C5">
      <w:pPr>
        <w:spacing w:line="520" w:lineRule="exact"/>
        <w:ind w:firstLine="480" w:firstLineChars="200"/>
        <w:rPr>
          <w:rFonts w:ascii="宋体" w:hAnsi="宋体" w:eastAsia="宋体" w:cs="宋体"/>
          <w:sz w:val="24"/>
          <w:szCs w:val="24"/>
        </w:rPr>
      </w:pPr>
      <w:r>
        <w:rPr>
          <w:rFonts w:ascii="宋体" w:hAnsi="宋体" w:eastAsia="宋体" w:cs="宋体"/>
          <w:sz w:val="24"/>
          <w:szCs w:val="24"/>
        </w:rPr>
        <w:t>贯彻执行国家、省、市以及区政府的城市建设工作方针、政策、路线、发展战略和改革方案；负责制订全区城市建设事业发展战略、中长期规划、城区建设总体规划、分片规划、专业规划、年度计划和行业、产业政策、改革方案，并组织实施。协助市住建局对本辖区建筑行业进行管理；负责区管道路、排水管网的疏</w:t>
      </w:r>
      <w:r>
        <w:rPr>
          <w:rFonts w:hint="eastAsia" w:ascii="宋体" w:hAnsi="宋体" w:eastAsia="宋体" w:cs="宋体"/>
          <w:sz w:val="24"/>
          <w:szCs w:val="24"/>
          <w:lang w:val="en-US" w:eastAsia="zh-CN"/>
        </w:rPr>
        <w:t>通</w:t>
      </w:r>
      <w:r>
        <w:rPr>
          <w:rFonts w:ascii="宋体" w:hAnsi="宋体" w:eastAsia="宋体" w:cs="宋体"/>
          <w:sz w:val="24"/>
          <w:szCs w:val="24"/>
        </w:rPr>
        <w:t>维护，防涝排渍管理等市政设施维护管理以及城市绿化维护工作；负责区政府的重点建设工程建设；负责辖区城市基础设施项目建设；</w:t>
      </w:r>
      <w:r>
        <w:rPr>
          <w:rFonts w:hint="eastAsia" w:ascii="宋体" w:hAnsi="宋体" w:eastAsia="宋体" w:cs="宋体"/>
          <w:sz w:val="24"/>
          <w:szCs w:val="24"/>
          <w:lang w:val="en-US" w:eastAsia="zh-CN"/>
        </w:rPr>
        <w:t>负责辖区其它建设工程消防备案工作；</w:t>
      </w:r>
      <w:r>
        <w:rPr>
          <w:rFonts w:ascii="宋体" w:hAnsi="宋体" w:eastAsia="宋体" w:cs="宋体"/>
          <w:sz w:val="24"/>
          <w:szCs w:val="24"/>
        </w:rPr>
        <w:t>负责辖区人民防空工作各项规划及有关规定，负责人防专项经费的管理，负责辖区内市民的人民防空知识的普及和宣传教育工作。</w:t>
      </w:r>
    </w:p>
    <w:p w14:paraId="735DE90D">
      <w:pPr>
        <w:spacing w:line="520" w:lineRule="exact"/>
        <w:ind w:firstLine="488" w:firstLineChars="200"/>
        <w:rPr>
          <w:rFonts w:hAnsi="宋体"/>
          <w:color w:val="000000"/>
          <w:spacing w:val="2"/>
          <w:sz w:val="24"/>
        </w:rPr>
      </w:pPr>
      <w:r>
        <w:rPr>
          <w:rFonts w:hint="eastAsia" w:hAnsi="宋体"/>
          <w:color w:val="000000"/>
          <w:spacing w:val="2"/>
          <w:sz w:val="24"/>
        </w:rPr>
        <w:t>（二）机构情况</w:t>
      </w:r>
    </w:p>
    <w:p w14:paraId="7E868519">
      <w:pPr>
        <w:spacing w:line="520" w:lineRule="exact"/>
        <w:ind w:firstLine="488" w:firstLineChars="200"/>
        <w:rPr>
          <w:rFonts w:asciiTheme="minorEastAsia" w:hAnsiTheme="minorEastAsia" w:cstheme="minorEastAsia"/>
          <w:color w:val="000000"/>
          <w:spacing w:val="2"/>
          <w:sz w:val="24"/>
        </w:rPr>
      </w:pPr>
      <w:r>
        <w:rPr>
          <w:rFonts w:hint="eastAsia" w:asciiTheme="minorEastAsia" w:hAnsiTheme="minorEastAsia" w:cstheme="minorEastAsia"/>
          <w:color w:val="000000"/>
          <w:spacing w:val="2"/>
          <w:sz w:val="24"/>
        </w:rPr>
        <w:t>黄石港区建设局为区政府工作部门，挂区人防办牌子。</w:t>
      </w:r>
      <w:r>
        <w:rPr>
          <w:rFonts w:hint="eastAsia" w:asciiTheme="minorEastAsia" w:hAnsiTheme="minorEastAsia" w:cstheme="minorEastAsia"/>
          <w:bCs/>
          <w:sz w:val="24"/>
        </w:rPr>
        <w:t>内设办公室、</w:t>
      </w:r>
      <w:r>
        <w:rPr>
          <w:rFonts w:hint="eastAsia" w:asciiTheme="minorEastAsia" w:hAnsiTheme="minorEastAsia" w:cstheme="minorEastAsia"/>
          <w:bCs/>
          <w:sz w:val="24"/>
          <w:lang w:val="en-US" w:eastAsia="zh-CN"/>
        </w:rPr>
        <w:t>建设科</w:t>
      </w:r>
      <w:r>
        <w:rPr>
          <w:rFonts w:hint="eastAsia" w:asciiTheme="minorEastAsia" w:hAnsiTheme="minorEastAsia" w:cstheme="minorEastAsia"/>
          <w:bCs/>
          <w:sz w:val="24"/>
        </w:rPr>
        <w:t>、交通管理科。</w:t>
      </w:r>
    </w:p>
    <w:p w14:paraId="60F7705D">
      <w:pPr>
        <w:spacing w:line="520" w:lineRule="exact"/>
        <w:ind w:firstLine="488" w:firstLineChars="200"/>
        <w:rPr>
          <w:rFonts w:hAnsi="宋体"/>
          <w:color w:val="000000"/>
          <w:spacing w:val="2"/>
          <w:sz w:val="24"/>
        </w:rPr>
      </w:pPr>
      <w:r>
        <w:rPr>
          <w:rFonts w:hint="eastAsia" w:hAnsi="宋体"/>
          <w:color w:val="000000"/>
          <w:spacing w:val="2"/>
          <w:sz w:val="24"/>
        </w:rPr>
        <w:t>（三）人员情况</w:t>
      </w:r>
    </w:p>
    <w:p w14:paraId="18EA3AD3">
      <w:pPr>
        <w:spacing w:line="520" w:lineRule="exact"/>
        <w:ind w:firstLine="488" w:firstLineChars="200"/>
        <w:rPr>
          <w:rFonts w:hAnsi="宋体"/>
          <w:color w:val="000000"/>
          <w:spacing w:val="2"/>
          <w:sz w:val="24"/>
        </w:rPr>
      </w:pPr>
      <w:r>
        <w:rPr>
          <w:rFonts w:hint="eastAsia" w:hAnsi="宋体"/>
          <w:color w:val="000000"/>
          <w:spacing w:val="2"/>
          <w:sz w:val="24"/>
        </w:rPr>
        <w:t>单位编制10名，其中行政编制3名，事业编制7名。实有人数</w:t>
      </w:r>
      <w:r>
        <w:rPr>
          <w:rFonts w:hint="eastAsia" w:hAnsi="宋体"/>
          <w:color w:val="000000"/>
          <w:spacing w:val="2"/>
          <w:sz w:val="24"/>
          <w:lang w:val="en-US" w:eastAsia="zh-CN"/>
        </w:rPr>
        <w:t>22</w:t>
      </w:r>
      <w:r>
        <w:rPr>
          <w:rFonts w:hint="eastAsia" w:hAnsi="宋体"/>
          <w:color w:val="000000"/>
          <w:spacing w:val="2"/>
          <w:sz w:val="24"/>
        </w:rPr>
        <w:t>人，其中</w:t>
      </w:r>
      <w:r>
        <w:rPr>
          <w:rFonts w:hint="eastAsia" w:hAnsi="宋体"/>
          <w:color w:val="000000"/>
          <w:spacing w:val="2"/>
          <w:sz w:val="24"/>
          <w:lang w:val="en-US" w:eastAsia="zh-CN"/>
        </w:rPr>
        <w:t>行政编制</w:t>
      </w:r>
      <w:r>
        <w:rPr>
          <w:rFonts w:hint="eastAsia" w:hAnsi="宋体"/>
          <w:color w:val="000000"/>
          <w:spacing w:val="2"/>
          <w:sz w:val="24"/>
        </w:rPr>
        <w:t>1人,事业编制</w:t>
      </w:r>
      <w:r>
        <w:rPr>
          <w:rFonts w:hint="eastAsia" w:hAnsi="宋体"/>
          <w:color w:val="000000"/>
          <w:spacing w:val="2"/>
          <w:sz w:val="24"/>
          <w:lang w:val="en-US" w:eastAsia="zh-CN"/>
        </w:rPr>
        <w:t>7</w:t>
      </w:r>
      <w:r>
        <w:rPr>
          <w:rFonts w:hint="eastAsia" w:hAnsi="宋体"/>
          <w:color w:val="000000"/>
          <w:spacing w:val="2"/>
          <w:sz w:val="24"/>
        </w:rPr>
        <w:t>人，区内编制</w:t>
      </w:r>
      <w:r>
        <w:rPr>
          <w:rFonts w:hint="eastAsia" w:hAnsi="宋体"/>
          <w:color w:val="000000"/>
          <w:spacing w:val="2"/>
          <w:sz w:val="24"/>
          <w:lang w:val="en-US" w:eastAsia="zh-CN"/>
        </w:rPr>
        <w:t>2</w:t>
      </w:r>
      <w:r>
        <w:rPr>
          <w:rFonts w:hint="eastAsia" w:hAnsi="宋体"/>
          <w:color w:val="000000"/>
          <w:spacing w:val="2"/>
          <w:sz w:val="24"/>
        </w:rPr>
        <w:t>人，政府雇员</w:t>
      </w:r>
      <w:r>
        <w:rPr>
          <w:rFonts w:hint="eastAsia" w:hAnsi="宋体"/>
          <w:color w:val="000000"/>
          <w:spacing w:val="2"/>
          <w:sz w:val="24"/>
          <w:lang w:val="en-US" w:eastAsia="zh-CN"/>
        </w:rPr>
        <w:t>8</w:t>
      </w:r>
      <w:r>
        <w:rPr>
          <w:rFonts w:hint="eastAsia" w:hAnsi="宋体"/>
          <w:color w:val="000000"/>
          <w:spacing w:val="2"/>
          <w:sz w:val="24"/>
        </w:rPr>
        <w:t>人，借用人员</w:t>
      </w:r>
      <w:r>
        <w:rPr>
          <w:rFonts w:hint="eastAsia" w:hAnsi="宋体"/>
          <w:color w:val="000000"/>
          <w:spacing w:val="2"/>
          <w:sz w:val="24"/>
          <w:lang w:val="en-US" w:eastAsia="zh-CN"/>
        </w:rPr>
        <w:t>4</w:t>
      </w:r>
      <w:r>
        <w:rPr>
          <w:rFonts w:hint="eastAsia" w:hAnsi="宋体"/>
          <w:color w:val="000000"/>
          <w:spacing w:val="2"/>
          <w:sz w:val="24"/>
        </w:rPr>
        <w:t>人。</w:t>
      </w:r>
    </w:p>
    <w:p w14:paraId="73A1D2C8">
      <w:pPr>
        <w:keepNext w:val="0"/>
        <w:keepLines w:val="0"/>
        <w:widowControl/>
        <w:suppressLineNumbers w:val="0"/>
        <w:jc w:val="left"/>
        <w:rPr>
          <w:rFonts w:ascii="宋体" w:hAnsi="宋体" w:eastAsia="宋体" w:cs="宋体"/>
          <w:kern w:val="0"/>
          <w:sz w:val="24"/>
          <w:szCs w:val="24"/>
          <w:lang w:val="en-US" w:eastAsia="zh-CN" w:bidi="ar"/>
        </w:rPr>
      </w:pPr>
      <w:r>
        <w:rPr>
          <w:rFonts w:hint="eastAsia" w:ascii="微软雅黑" w:hAnsi="微软雅黑" w:eastAsia="微软雅黑" w:cs="微软雅黑"/>
          <w:b/>
          <w:bCs/>
        </w:rPr>
        <w:t>第二部分：部门</w:t>
      </w:r>
      <w:r>
        <w:rPr>
          <w:rFonts w:hint="eastAsia" w:ascii="微软雅黑" w:hAnsi="微软雅黑" w:eastAsia="微软雅黑" w:cs="微软雅黑"/>
          <w:b/>
          <w:bCs/>
          <w:lang w:eastAsia="zh-CN"/>
        </w:rPr>
        <w:t>202</w:t>
      </w:r>
      <w:r>
        <w:rPr>
          <w:rFonts w:hint="eastAsia" w:ascii="微软雅黑" w:hAnsi="微软雅黑" w:eastAsia="微软雅黑" w:cs="微软雅黑"/>
          <w:b/>
          <w:bCs/>
          <w:lang w:val="en-US" w:eastAsia="zh-CN"/>
        </w:rPr>
        <w:t>1</w:t>
      </w:r>
      <w:r>
        <w:rPr>
          <w:rFonts w:hint="eastAsia" w:ascii="微软雅黑" w:hAnsi="微软雅黑" w:eastAsia="微软雅黑" w:cs="微软雅黑"/>
          <w:b/>
          <w:bCs/>
        </w:rPr>
        <w:t>年部门决算表</w:t>
      </w:r>
      <w:r>
        <w:rPr>
          <w:rFonts w:ascii="宋体" w:hAnsi="宋体" w:eastAsia="宋体" w:cs="宋体"/>
          <w:kern w:val="0"/>
          <w:sz w:val="24"/>
          <w:szCs w:val="24"/>
          <w:lang w:val="en-US" w:eastAsia="zh-CN" w:bidi="ar"/>
        </w:rPr>
        <w:drawing>
          <wp:inline distT="0" distB="0" distL="114300" distR="114300">
            <wp:extent cx="8889365" cy="4770120"/>
            <wp:effectExtent l="0" t="0" r="6985" b="11430"/>
            <wp:docPr id="3" name="图片 3" descr="1.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收入支出决算总表"/>
                    <pic:cNvPicPr>
                      <a:picLocks noChangeAspect="1"/>
                    </pic:cNvPicPr>
                  </pic:nvPicPr>
                  <pic:blipFill>
                    <a:blip r:embed="rId4"/>
                    <a:srcRect r="5188"/>
                    <a:stretch>
                      <a:fillRect/>
                    </a:stretch>
                  </pic:blipFill>
                  <pic:spPr>
                    <a:xfrm>
                      <a:off x="0" y="0"/>
                      <a:ext cx="8889365" cy="4770120"/>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8741410" cy="4652645"/>
            <wp:effectExtent l="0" t="0" r="2540" b="14605"/>
            <wp:docPr id="5" name="图片 5" descr="2.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收入决算表"/>
                    <pic:cNvPicPr>
                      <a:picLocks noChangeAspect="1"/>
                    </pic:cNvPicPr>
                  </pic:nvPicPr>
                  <pic:blipFill>
                    <a:blip r:embed="rId5"/>
                    <a:srcRect r="3505"/>
                    <a:stretch>
                      <a:fillRect/>
                    </a:stretch>
                  </pic:blipFill>
                  <pic:spPr>
                    <a:xfrm>
                      <a:off x="0" y="0"/>
                      <a:ext cx="8741410" cy="4652645"/>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8677275" cy="4869180"/>
            <wp:effectExtent l="0" t="0" r="9525" b="7620"/>
            <wp:docPr id="6" name="图片 6" descr="3.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支出决算表"/>
                    <pic:cNvPicPr>
                      <a:picLocks noChangeAspect="1"/>
                    </pic:cNvPicPr>
                  </pic:nvPicPr>
                  <pic:blipFill>
                    <a:blip r:embed="rId6"/>
                    <a:srcRect r="2029"/>
                    <a:stretch>
                      <a:fillRect/>
                    </a:stretch>
                  </pic:blipFill>
                  <pic:spPr>
                    <a:xfrm>
                      <a:off x="0" y="0"/>
                      <a:ext cx="8677275" cy="4869180"/>
                    </a:xfrm>
                    <a:prstGeom prst="rect">
                      <a:avLst/>
                    </a:prstGeom>
                  </pic:spPr>
                </pic:pic>
              </a:graphicData>
            </a:graphic>
          </wp:inline>
        </w:drawing>
      </w:r>
    </w:p>
    <w:p w14:paraId="766B72C2">
      <w:pPr>
        <w:keepNext w:val="0"/>
        <w:keepLines w:val="0"/>
        <w:widowControl/>
        <w:suppressLineNumbers w:val="0"/>
        <w:jc w:val="left"/>
      </w:pPr>
    </w:p>
    <w:p w14:paraId="293B9AC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36990" cy="5363210"/>
            <wp:effectExtent l="0" t="0" r="16510" b="889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8936990" cy="5363210"/>
                    </a:xfrm>
                    <a:prstGeom prst="rect">
                      <a:avLst/>
                    </a:prstGeom>
                    <a:noFill/>
                    <a:ln w="9525">
                      <a:noFill/>
                    </a:ln>
                  </pic:spPr>
                </pic:pic>
              </a:graphicData>
            </a:graphic>
          </wp:inline>
        </w:drawing>
      </w:r>
    </w:p>
    <w:p w14:paraId="7A7D4DD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24925" cy="5258435"/>
            <wp:effectExtent l="0" t="0" r="9525" b="18415"/>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8"/>
                    <a:stretch>
                      <a:fillRect/>
                    </a:stretch>
                  </pic:blipFill>
                  <pic:spPr>
                    <a:xfrm>
                      <a:off x="0" y="0"/>
                      <a:ext cx="8924925" cy="5258435"/>
                    </a:xfrm>
                    <a:prstGeom prst="rect">
                      <a:avLst/>
                    </a:prstGeom>
                    <a:noFill/>
                    <a:ln w="9525">
                      <a:noFill/>
                    </a:ln>
                  </pic:spPr>
                </pic:pic>
              </a:graphicData>
            </a:graphic>
          </wp:inline>
        </w:drawing>
      </w:r>
    </w:p>
    <w:p w14:paraId="4FFA817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97620" cy="5362575"/>
            <wp:effectExtent l="0" t="0" r="17780" b="9525"/>
            <wp:docPr id="9"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6"/>
                    <pic:cNvPicPr>
                      <a:picLocks noChangeAspect="1"/>
                    </pic:cNvPicPr>
                  </pic:nvPicPr>
                  <pic:blipFill>
                    <a:blip r:embed="rId9"/>
                    <a:stretch>
                      <a:fillRect/>
                    </a:stretch>
                  </pic:blipFill>
                  <pic:spPr>
                    <a:xfrm>
                      <a:off x="0" y="0"/>
                      <a:ext cx="8897620" cy="5362575"/>
                    </a:xfrm>
                    <a:prstGeom prst="rect">
                      <a:avLst/>
                    </a:prstGeom>
                    <a:noFill/>
                    <a:ln w="9525">
                      <a:noFill/>
                    </a:ln>
                  </pic:spPr>
                </pic:pic>
              </a:graphicData>
            </a:graphic>
          </wp:inline>
        </w:drawing>
      </w:r>
    </w:p>
    <w:p w14:paraId="6A29643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59215" cy="2238375"/>
            <wp:effectExtent l="0" t="0" r="13335"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0"/>
                    <a:srcRect r="1508"/>
                    <a:stretch>
                      <a:fillRect/>
                    </a:stretch>
                  </pic:blipFill>
                  <pic:spPr>
                    <a:xfrm>
                      <a:off x="0" y="0"/>
                      <a:ext cx="8959215" cy="2238375"/>
                    </a:xfrm>
                    <a:prstGeom prst="rect">
                      <a:avLst/>
                    </a:prstGeom>
                    <a:noFill/>
                    <a:ln w="9525">
                      <a:noFill/>
                    </a:ln>
                  </pic:spPr>
                </pic:pic>
              </a:graphicData>
            </a:graphic>
          </wp:inline>
        </w:drawing>
      </w:r>
    </w:p>
    <w:p w14:paraId="24A02DCB">
      <w:pPr>
        <w:keepNext w:val="0"/>
        <w:keepLines w:val="0"/>
        <w:widowControl/>
        <w:suppressLineNumbers w:val="0"/>
        <w:jc w:val="left"/>
      </w:pPr>
    </w:p>
    <w:p w14:paraId="774D07D3">
      <w:pPr>
        <w:keepNext w:val="0"/>
        <w:keepLines w:val="0"/>
        <w:widowControl/>
        <w:suppressLineNumbers w:val="0"/>
        <w:jc w:val="left"/>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6"/>
        <w:gridCol w:w="222"/>
        <w:gridCol w:w="222"/>
        <w:gridCol w:w="1016"/>
        <w:gridCol w:w="1616"/>
        <w:gridCol w:w="1016"/>
        <w:gridCol w:w="616"/>
        <w:gridCol w:w="1016"/>
        <w:gridCol w:w="1016"/>
        <w:gridCol w:w="1756"/>
      </w:tblGrid>
      <w:tr w14:paraId="0B4E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0" w:type="auto"/>
            <w:gridSpan w:val="10"/>
            <w:tcBorders>
              <w:top w:val="nil"/>
              <w:left w:val="nil"/>
              <w:bottom w:val="nil"/>
              <w:right w:val="nil"/>
            </w:tcBorders>
            <w:shd w:val="clear" w:color="auto" w:fill="FFFFFF"/>
            <w:noWrap/>
            <w:vAlign w:val="center"/>
          </w:tcPr>
          <w:p w14:paraId="4828D55A">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39CAE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0" w:type="auto"/>
            <w:tcBorders>
              <w:top w:val="nil"/>
              <w:left w:val="nil"/>
              <w:bottom w:val="nil"/>
              <w:right w:val="nil"/>
            </w:tcBorders>
            <w:shd w:val="clear" w:color="auto" w:fill="FFFFFF"/>
            <w:noWrap/>
            <w:vAlign w:val="center"/>
          </w:tcPr>
          <w:p w14:paraId="4142913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13B3E2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A04CCA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0C89DC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F3EC56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357D46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335FA6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0868BB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905145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6E49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08EB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0" w:type="auto"/>
            <w:tcBorders>
              <w:top w:val="nil"/>
              <w:left w:val="nil"/>
              <w:bottom w:val="single" w:color="000000" w:sz="4" w:space="0"/>
              <w:right w:val="nil"/>
            </w:tcBorders>
            <w:shd w:val="clear" w:color="auto" w:fill="FFFFFF"/>
            <w:noWrap/>
            <w:vAlign w:val="center"/>
          </w:tcPr>
          <w:p w14:paraId="1E6470B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部门：黄石市黄石港区建设局</w:t>
            </w:r>
          </w:p>
        </w:tc>
        <w:tc>
          <w:tcPr>
            <w:tcW w:w="0" w:type="auto"/>
            <w:tcBorders>
              <w:top w:val="nil"/>
              <w:left w:val="nil"/>
              <w:bottom w:val="single" w:color="000000" w:sz="4" w:space="0"/>
              <w:right w:val="nil"/>
            </w:tcBorders>
            <w:shd w:val="clear" w:color="auto" w:fill="FFFFFF"/>
            <w:noWrap/>
            <w:vAlign w:val="center"/>
          </w:tcPr>
          <w:p w14:paraId="335B601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CA9ED8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7B2FEE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243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68330FC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4DD77F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7FB21B6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5217C2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AAAF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A7C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49730D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990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4AEB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0" w:type="auto"/>
            <w:gridSpan w:val="3"/>
            <w:tcBorders>
              <w:top w:val="nil"/>
              <w:left w:val="nil"/>
              <w:bottom w:val="single" w:color="000000" w:sz="4" w:space="0"/>
              <w:right w:val="single" w:color="000000" w:sz="4" w:space="0"/>
            </w:tcBorders>
            <w:shd w:val="clear" w:color="auto" w:fill="C0C0C0"/>
            <w:noWrap w:val="0"/>
            <w:vAlign w:val="center"/>
          </w:tcPr>
          <w:p w14:paraId="77191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2377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200D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4953E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24B50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7932AAD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4E91A45">
            <w:pPr>
              <w:jc w:val="center"/>
              <w:rPr>
                <w:rFonts w:hint="eastAsia" w:ascii="宋体" w:hAnsi="宋体" w:eastAsia="宋体" w:cs="宋体"/>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3FF52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6C716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998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6FAFC5D">
            <w:pPr>
              <w:jc w:val="center"/>
              <w:rPr>
                <w:rFonts w:hint="eastAsia" w:ascii="宋体" w:hAnsi="宋体" w:eastAsia="宋体" w:cs="宋体"/>
                <w:i w:val="0"/>
                <w:iCs w:val="0"/>
                <w:color w:val="000000"/>
                <w:sz w:val="20"/>
                <w:szCs w:val="20"/>
                <w:u w:val="none"/>
              </w:rPr>
            </w:pPr>
          </w:p>
        </w:tc>
      </w:tr>
      <w:tr w14:paraId="7E0B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2B74590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518017F">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BF43B8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382B946">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69B78FF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62BB81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946A20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A776E6D">
            <w:pPr>
              <w:jc w:val="center"/>
              <w:rPr>
                <w:rFonts w:hint="eastAsia" w:ascii="宋体" w:hAnsi="宋体" w:eastAsia="宋体" w:cs="宋体"/>
                <w:i w:val="0"/>
                <w:iCs w:val="0"/>
                <w:color w:val="000000"/>
                <w:sz w:val="20"/>
                <w:szCs w:val="20"/>
                <w:u w:val="none"/>
              </w:rPr>
            </w:pPr>
          </w:p>
        </w:tc>
      </w:tr>
      <w:tr w14:paraId="2719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0A234E3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7A1F3C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4F0EB2C">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141262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BC5115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C86E0F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024DBE0D">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45AFB75">
            <w:pPr>
              <w:jc w:val="center"/>
              <w:rPr>
                <w:rFonts w:hint="eastAsia" w:ascii="宋体" w:hAnsi="宋体" w:eastAsia="宋体" w:cs="宋体"/>
                <w:i w:val="0"/>
                <w:iCs w:val="0"/>
                <w:color w:val="000000"/>
                <w:sz w:val="20"/>
                <w:szCs w:val="20"/>
                <w:u w:val="none"/>
              </w:rPr>
            </w:pPr>
          </w:p>
        </w:tc>
      </w:tr>
      <w:tr w14:paraId="4D09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D372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6B899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E82D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49AB3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11531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32A2D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04B95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8AD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5A6782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15175458">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079DCB8">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E4BB991">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FC50209">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340A299">
            <w:pPr>
              <w:jc w:val="both"/>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2218721">
            <w:pPr>
              <w:jc w:val="center"/>
              <w:rPr>
                <w:rFonts w:hint="eastAsia" w:ascii="宋体" w:hAnsi="宋体" w:eastAsia="宋体" w:cs="宋体"/>
                <w:b/>
                <w:bCs/>
                <w:i w:val="0"/>
                <w:iCs w:val="0"/>
                <w:color w:val="000000"/>
                <w:sz w:val="20"/>
                <w:szCs w:val="20"/>
                <w:u w:val="none"/>
              </w:rPr>
            </w:pPr>
          </w:p>
        </w:tc>
      </w:tr>
      <w:tr w14:paraId="1F96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44F5C7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0B4B9AB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CFE1C5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1BCE7C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A2D884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FCB2527">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83F3AF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633706B">
            <w:pPr>
              <w:jc w:val="center"/>
              <w:rPr>
                <w:rFonts w:hint="eastAsia" w:ascii="宋体" w:hAnsi="宋体" w:eastAsia="宋体" w:cs="宋体"/>
                <w:i w:val="0"/>
                <w:iCs w:val="0"/>
                <w:color w:val="000000"/>
                <w:sz w:val="20"/>
                <w:szCs w:val="20"/>
                <w:u w:val="none"/>
              </w:rPr>
            </w:pPr>
          </w:p>
        </w:tc>
      </w:tr>
      <w:tr w14:paraId="7BFC6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0" w:type="auto"/>
            <w:gridSpan w:val="10"/>
            <w:tcBorders>
              <w:top w:val="nil"/>
              <w:left w:val="nil"/>
              <w:bottom w:val="nil"/>
              <w:right w:val="nil"/>
            </w:tcBorders>
            <w:shd w:val="clear" w:color="auto" w:fill="FFFFFF"/>
            <w:noWrap/>
            <w:vAlign w:val="center"/>
          </w:tcPr>
          <w:p w14:paraId="507AAC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1C6CEF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tc>
      </w:tr>
    </w:tbl>
    <w:p w14:paraId="752CEC57">
      <w:pPr>
        <w:pStyle w:val="18"/>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9"/>
        <w:tblW w:w="12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2"/>
        <w:gridCol w:w="320"/>
        <w:gridCol w:w="320"/>
        <w:gridCol w:w="1658"/>
        <w:gridCol w:w="1539"/>
        <w:gridCol w:w="1268"/>
        <w:gridCol w:w="3163"/>
      </w:tblGrid>
      <w:tr w14:paraId="078C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2700" w:type="dxa"/>
            <w:gridSpan w:val="7"/>
            <w:tcBorders>
              <w:top w:val="nil"/>
              <w:left w:val="nil"/>
              <w:bottom w:val="nil"/>
              <w:right w:val="nil"/>
            </w:tcBorders>
            <w:shd w:val="clear" w:color="auto" w:fill="FFFFFF"/>
            <w:noWrap/>
            <w:vAlign w:val="center"/>
          </w:tcPr>
          <w:p w14:paraId="6B40C8F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3987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nil"/>
              <w:left w:val="nil"/>
              <w:bottom w:val="nil"/>
              <w:right w:val="nil"/>
            </w:tcBorders>
            <w:shd w:val="clear" w:color="auto" w:fill="FFFFFF"/>
            <w:noWrap/>
            <w:vAlign w:val="center"/>
          </w:tcPr>
          <w:p w14:paraId="6C6F6E3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269492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F27AA0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916377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72BEF6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96BA42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7B4C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08D3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0" w:type="auto"/>
            <w:tcBorders>
              <w:top w:val="nil"/>
              <w:left w:val="nil"/>
              <w:bottom w:val="single" w:color="000000" w:sz="4" w:space="0"/>
              <w:right w:val="nil"/>
            </w:tcBorders>
            <w:shd w:val="clear" w:color="auto" w:fill="FFFFFF"/>
            <w:noWrap/>
            <w:vAlign w:val="center"/>
          </w:tcPr>
          <w:p w14:paraId="6328D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部门：黄石市黄石港区建设局</w:t>
            </w:r>
          </w:p>
        </w:tc>
        <w:tc>
          <w:tcPr>
            <w:tcW w:w="0" w:type="auto"/>
            <w:tcBorders>
              <w:top w:val="nil"/>
              <w:left w:val="nil"/>
              <w:bottom w:val="single" w:color="000000" w:sz="4" w:space="0"/>
              <w:right w:val="nil"/>
            </w:tcBorders>
            <w:shd w:val="clear" w:color="auto" w:fill="FFFFFF"/>
            <w:noWrap/>
            <w:vAlign w:val="center"/>
          </w:tcPr>
          <w:p w14:paraId="18EBD4A8">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6319F3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AD23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66A3443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DFA350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1B27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858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1DF3D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6" w:type="dxa"/>
            <w:gridSpan w:val="3"/>
            <w:tcBorders>
              <w:top w:val="nil"/>
              <w:left w:val="nil"/>
              <w:bottom w:val="single" w:color="000000" w:sz="4" w:space="0"/>
              <w:right w:val="single" w:color="000000" w:sz="4" w:space="0"/>
            </w:tcBorders>
            <w:shd w:val="clear" w:color="auto" w:fill="C0C0C0"/>
            <w:noWrap w:val="0"/>
            <w:vAlign w:val="center"/>
          </w:tcPr>
          <w:p w14:paraId="5514C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7AEB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278"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092B9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6D330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719" w:type="dxa"/>
            <w:vMerge w:val="restart"/>
            <w:tcBorders>
              <w:top w:val="nil"/>
              <w:left w:val="nil"/>
              <w:bottom w:val="single" w:color="000000" w:sz="4" w:space="0"/>
              <w:right w:val="single" w:color="000000" w:sz="4" w:space="0"/>
            </w:tcBorders>
            <w:shd w:val="clear" w:color="auto" w:fill="C0C0C0"/>
            <w:noWrap w:val="0"/>
            <w:vAlign w:val="center"/>
          </w:tcPr>
          <w:p w14:paraId="43A04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44" w:type="dxa"/>
            <w:vMerge w:val="restart"/>
            <w:tcBorders>
              <w:top w:val="nil"/>
              <w:left w:val="nil"/>
              <w:bottom w:val="single" w:color="000000" w:sz="4" w:space="0"/>
              <w:right w:val="single" w:color="000000" w:sz="4" w:space="0"/>
            </w:tcBorders>
            <w:shd w:val="clear" w:color="auto" w:fill="C0C0C0"/>
            <w:noWrap w:val="0"/>
            <w:vAlign w:val="center"/>
          </w:tcPr>
          <w:p w14:paraId="4DD70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33" w:type="dxa"/>
            <w:vMerge w:val="restart"/>
            <w:tcBorders>
              <w:top w:val="nil"/>
              <w:left w:val="nil"/>
              <w:bottom w:val="single" w:color="000000" w:sz="4" w:space="0"/>
              <w:right w:val="single" w:color="000000" w:sz="4" w:space="0"/>
            </w:tcBorders>
            <w:shd w:val="clear" w:color="auto" w:fill="C0C0C0"/>
            <w:noWrap w:val="0"/>
            <w:vAlign w:val="center"/>
          </w:tcPr>
          <w:p w14:paraId="65C94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402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278"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2DDC2AF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21A69DC">
            <w:pPr>
              <w:jc w:val="center"/>
              <w:rPr>
                <w:rFonts w:hint="eastAsia" w:ascii="宋体" w:hAnsi="宋体" w:eastAsia="宋体" w:cs="宋体"/>
                <w:i w:val="0"/>
                <w:iCs w:val="0"/>
                <w:color w:val="000000"/>
                <w:sz w:val="20"/>
                <w:szCs w:val="20"/>
                <w:u w:val="none"/>
              </w:rPr>
            </w:pPr>
          </w:p>
        </w:tc>
        <w:tc>
          <w:tcPr>
            <w:tcW w:w="1719" w:type="dxa"/>
            <w:vMerge w:val="continue"/>
            <w:tcBorders>
              <w:top w:val="nil"/>
              <w:left w:val="nil"/>
              <w:bottom w:val="single" w:color="000000" w:sz="4" w:space="0"/>
              <w:right w:val="single" w:color="000000" w:sz="4" w:space="0"/>
            </w:tcBorders>
            <w:shd w:val="clear" w:color="auto" w:fill="C0C0C0"/>
            <w:noWrap w:val="0"/>
            <w:vAlign w:val="center"/>
          </w:tcPr>
          <w:p w14:paraId="1CD6B75B">
            <w:pPr>
              <w:jc w:val="center"/>
              <w:rPr>
                <w:rFonts w:hint="eastAsia" w:ascii="宋体" w:hAnsi="宋体" w:eastAsia="宋体" w:cs="宋体"/>
                <w:i w:val="0"/>
                <w:iCs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noWrap w:val="0"/>
            <w:vAlign w:val="center"/>
          </w:tcPr>
          <w:p w14:paraId="2104584C">
            <w:pPr>
              <w:jc w:val="center"/>
              <w:rPr>
                <w:rFonts w:hint="eastAsia" w:ascii="宋体" w:hAnsi="宋体" w:eastAsia="宋体" w:cs="宋体"/>
                <w:i w:val="0"/>
                <w:iCs w:val="0"/>
                <w:color w:val="000000"/>
                <w:sz w:val="20"/>
                <w:szCs w:val="20"/>
                <w:u w:val="none"/>
              </w:rPr>
            </w:pPr>
          </w:p>
        </w:tc>
        <w:tc>
          <w:tcPr>
            <w:tcW w:w="2633" w:type="dxa"/>
            <w:vMerge w:val="continue"/>
            <w:tcBorders>
              <w:top w:val="nil"/>
              <w:left w:val="nil"/>
              <w:bottom w:val="single" w:color="000000" w:sz="4" w:space="0"/>
              <w:right w:val="single" w:color="000000" w:sz="4" w:space="0"/>
            </w:tcBorders>
            <w:shd w:val="clear" w:color="auto" w:fill="C0C0C0"/>
            <w:noWrap w:val="0"/>
            <w:vAlign w:val="center"/>
          </w:tcPr>
          <w:p w14:paraId="6CFFE8E3">
            <w:pPr>
              <w:jc w:val="center"/>
              <w:rPr>
                <w:rFonts w:hint="eastAsia" w:ascii="宋体" w:hAnsi="宋体" w:eastAsia="宋体" w:cs="宋体"/>
                <w:i w:val="0"/>
                <w:iCs w:val="0"/>
                <w:color w:val="000000"/>
                <w:sz w:val="20"/>
                <w:szCs w:val="20"/>
                <w:u w:val="none"/>
              </w:rPr>
            </w:pPr>
          </w:p>
        </w:tc>
      </w:tr>
      <w:tr w14:paraId="17C0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278"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313B1C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73417B3">
            <w:pPr>
              <w:jc w:val="center"/>
              <w:rPr>
                <w:rFonts w:hint="eastAsia" w:ascii="宋体" w:hAnsi="宋体" w:eastAsia="宋体" w:cs="宋体"/>
                <w:i w:val="0"/>
                <w:iCs w:val="0"/>
                <w:color w:val="000000"/>
                <w:sz w:val="20"/>
                <w:szCs w:val="20"/>
                <w:u w:val="none"/>
              </w:rPr>
            </w:pPr>
          </w:p>
        </w:tc>
        <w:tc>
          <w:tcPr>
            <w:tcW w:w="1719" w:type="dxa"/>
            <w:vMerge w:val="continue"/>
            <w:tcBorders>
              <w:top w:val="nil"/>
              <w:left w:val="nil"/>
              <w:bottom w:val="single" w:color="000000" w:sz="4" w:space="0"/>
              <w:right w:val="single" w:color="000000" w:sz="4" w:space="0"/>
            </w:tcBorders>
            <w:shd w:val="clear" w:color="auto" w:fill="C0C0C0"/>
            <w:noWrap w:val="0"/>
            <w:vAlign w:val="center"/>
          </w:tcPr>
          <w:p w14:paraId="7D2B3CC9">
            <w:pPr>
              <w:jc w:val="center"/>
              <w:rPr>
                <w:rFonts w:hint="eastAsia" w:ascii="宋体" w:hAnsi="宋体" w:eastAsia="宋体" w:cs="宋体"/>
                <w:i w:val="0"/>
                <w:iCs w:val="0"/>
                <w:color w:val="000000"/>
                <w:sz w:val="20"/>
                <w:szCs w:val="20"/>
                <w:u w:val="none"/>
              </w:rPr>
            </w:pPr>
          </w:p>
        </w:tc>
        <w:tc>
          <w:tcPr>
            <w:tcW w:w="1344" w:type="dxa"/>
            <w:vMerge w:val="continue"/>
            <w:tcBorders>
              <w:top w:val="nil"/>
              <w:left w:val="nil"/>
              <w:bottom w:val="single" w:color="000000" w:sz="4" w:space="0"/>
              <w:right w:val="single" w:color="000000" w:sz="4" w:space="0"/>
            </w:tcBorders>
            <w:shd w:val="clear" w:color="auto" w:fill="C0C0C0"/>
            <w:noWrap w:val="0"/>
            <w:vAlign w:val="center"/>
          </w:tcPr>
          <w:p w14:paraId="5CCE7D05">
            <w:pPr>
              <w:jc w:val="center"/>
              <w:rPr>
                <w:rFonts w:hint="eastAsia" w:ascii="宋体" w:hAnsi="宋体" w:eastAsia="宋体" w:cs="宋体"/>
                <w:i w:val="0"/>
                <w:iCs w:val="0"/>
                <w:color w:val="000000"/>
                <w:sz w:val="20"/>
                <w:szCs w:val="20"/>
                <w:u w:val="none"/>
              </w:rPr>
            </w:pPr>
          </w:p>
        </w:tc>
        <w:tc>
          <w:tcPr>
            <w:tcW w:w="2633" w:type="dxa"/>
            <w:vMerge w:val="continue"/>
            <w:tcBorders>
              <w:top w:val="nil"/>
              <w:left w:val="nil"/>
              <w:bottom w:val="single" w:color="000000" w:sz="4" w:space="0"/>
              <w:right w:val="single" w:color="000000" w:sz="4" w:space="0"/>
            </w:tcBorders>
            <w:shd w:val="clear" w:color="auto" w:fill="C0C0C0"/>
            <w:noWrap w:val="0"/>
            <w:vAlign w:val="center"/>
          </w:tcPr>
          <w:p w14:paraId="7E92DF7C">
            <w:pPr>
              <w:jc w:val="center"/>
              <w:rPr>
                <w:rFonts w:hint="eastAsia" w:ascii="宋体" w:hAnsi="宋体" w:eastAsia="宋体" w:cs="宋体"/>
                <w:i w:val="0"/>
                <w:iCs w:val="0"/>
                <w:color w:val="000000"/>
                <w:sz w:val="20"/>
                <w:szCs w:val="20"/>
                <w:u w:val="none"/>
              </w:rPr>
            </w:pPr>
          </w:p>
        </w:tc>
      </w:tr>
      <w:tr w14:paraId="4959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7D307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94F8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23CFA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7F777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576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93A5E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236D3527">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5AAB91C">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69CBB41">
            <w:pPr>
              <w:jc w:val="right"/>
              <w:rPr>
                <w:rFonts w:hint="eastAsia" w:ascii="宋体" w:hAnsi="宋体" w:eastAsia="宋体" w:cs="宋体"/>
                <w:b/>
                <w:bCs/>
                <w:i w:val="0"/>
                <w:iCs w:val="0"/>
                <w:color w:val="000000"/>
                <w:sz w:val="20"/>
                <w:szCs w:val="20"/>
                <w:u w:val="none"/>
              </w:rPr>
            </w:pPr>
          </w:p>
        </w:tc>
      </w:tr>
      <w:tr w14:paraId="356A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A31236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46A9A25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329935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C6B027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68BDA3B">
            <w:pPr>
              <w:jc w:val="right"/>
              <w:rPr>
                <w:rFonts w:hint="eastAsia" w:ascii="宋体" w:hAnsi="宋体" w:eastAsia="宋体" w:cs="宋体"/>
                <w:i w:val="0"/>
                <w:iCs w:val="0"/>
                <w:color w:val="000000"/>
                <w:sz w:val="20"/>
                <w:szCs w:val="20"/>
                <w:u w:val="none"/>
              </w:rPr>
            </w:pPr>
          </w:p>
        </w:tc>
      </w:tr>
    </w:tbl>
    <w:p w14:paraId="3FD7C214">
      <w:pPr>
        <w:keepNext w:val="0"/>
        <w:keepLines w:val="0"/>
        <w:widowControl/>
        <w:suppressLineNumbers w:val="0"/>
        <w:jc w:val="left"/>
      </w:pPr>
    </w:p>
    <w:p w14:paraId="516F943F">
      <w:pPr>
        <w:keepNext w:val="0"/>
        <w:keepLines w:val="0"/>
        <w:widowControl/>
        <w:suppressLineNumbers w:val="0"/>
        <w:jc w:val="left"/>
      </w:pPr>
      <w:r>
        <w:rPr>
          <w:rFonts w:hint="eastAsia" w:ascii="宋体" w:hAnsi="宋体" w:eastAsia="宋体" w:cs="宋体"/>
          <w:i w:val="0"/>
          <w:iCs w:val="0"/>
          <w:color w:val="000000"/>
          <w:kern w:val="0"/>
          <w:sz w:val="20"/>
          <w:szCs w:val="20"/>
          <w:u w:val="none"/>
          <w:lang w:val="en-US" w:eastAsia="zh-CN" w:bidi="ar"/>
        </w:rPr>
        <w:t xml:space="preserve">     注：我部门无此项内容，本表无数据</w:t>
      </w:r>
    </w:p>
    <w:p w14:paraId="49CC759D">
      <w:pPr>
        <w:widowControl/>
        <w:jc w:val="left"/>
        <w:rPr>
          <w:rFonts w:ascii="宋体" w:hAnsi="宋体" w:eastAsia="宋体" w:cs="宋体"/>
          <w:kern w:val="0"/>
          <w:sz w:val="24"/>
        </w:rPr>
      </w:pPr>
    </w:p>
    <w:p w14:paraId="6E485B45">
      <w:pPr>
        <w:widowControl/>
        <w:jc w:val="left"/>
        <w:rPr>
          <w:rFonts w:ascii="宋体" w:hAnsi="宋体" w:eastAsia="宋体" w:cs="宋体"/>
          <w:kern w:val="0"/>
          <w:sz w:val="24"/>
        </w:rPr>
      </w:pPr>
    </w:p>
    <w:p w14:paraId="644B39E0">
      <w:pPr>
        <w:widowControl/>
        <w:jc w:val="left"/>
        <w:rPr>
          <w:rFonts w:ascii="宋体" w:hAnsi="宋体" w:eastAsia="宋体" w:cs="宋体"/>
          <w:kern w:val="0"/>
          <w:sz w:val="24"/>
        </w:rPr>
      </w:pPr>
    </w:p>
    <w:p w14:paraId="177E01B8">
      <w:pPr>
        <w:widowControl/>
        <w:jc w:val="left"/>
        <w:rPr>
          <w:rFonts w:ascii="宋体" w:hAnsi="宋体" w:eastAsia="宋体" w:cs="宋体"/>
          <w:kern w:val="0"/>
          <w:sz w:val="24"/>
        </w:rPr>
      </w:pPr>
    </w:p>
    <w:p w14:paraId="20E3E558">
      <w:pPr>
        <w:widowControl/>
      </w:pPr>
    </w:p>
    <w:p w14:paraId="586D1CEF">
      <w:pPr>
        <w:pStyle w:val="8"/>
        <w:widowControl/>
        <w:spacing w:before="76" w:beforeAutospacing="0" w:after="76" w:afterAutospacing="0" w:line="450" w:lineRule="atLeast"/>
        <w:jc w:val="both"/>
        <w:rPr>
          <w:rFonts w:hint="default" w:eastAsiaTheme="minorEastAsia"/>
          <w:lang w:val="en-US" w:eastAsia="zh-CN"/>
        </w:rPr>
        <w:sectPr>
          <w:pgSz w:w="16838" w:h="11906" w:orient="landscape"/>
          <w:pgMar w:top="1800" w:right="1440" w:bottom="1800" w:left="1440" w:header="851" w:footer="992" w:gutter="0"/>
          <w:cols w:space="425" w:num="1"/>
          <w:docGrid w:type="lines" w:linePitch="312" w:charSpace="0"/>
        </w:sectPr>
      </w:pPr>
    </w:p>
    <w:p w14:paraId="412F8185">
      <w:pPr>
        <w:pStyle w:val="8"/>
        <w:widowControl/>
        <w:spacing w:before="76" w:beforeAutospacing="0" w:after="76" w:afterAutospacing="0" w:line="450" w:lineRule="atLeast"/>
        <w:rPr>
          <w:color w:val="333333"/>
        </w:rPr>
      </w:pPr>
      <w:r>
        <w:rPr>
          <w:rStyle w:val="11"/>
          <w:rFonts w:hint="eastAsia" w:ascii="微软雅黑" w:hAnsi="微软雅黑" w:eastAsia="微软雅黑" w:cs="微软雅黑"/>
          <w:color w:val="333333"/>
          <w:shd w:val="clear" w:color="auto" w:fill="FFFFFF"/>
        </w:rPr>
        <w:t>第三部分</w:t>
      </w:r>
      <w:r>
        <w:rPr>
          <w:rStyle w:val="11"/>
          <w:rFonts w:hint="eastAsia" w:ascii="微软雅黑" w:hAnsi="微软雅黑" w:eastAsia="微软雅黑" w:cs="微软雅黑"/>
          <w:color w:val="333333"/>
          <w:shd w:val="clear" w:color="auto" w:fill="FFFFFF"/>
          <w:lang w:eastAsia="zh-CN"/>
        </w:rPr>
        <w:t>202</w:t>
      </w:r>
      <w:r>
        <w:rPr>
          <w:rStyle w:val="11"/>
          <w:rFonts w:hint="eastAsia" w:ascii="微软雅黑" w:hAnsi="微软雅黑" w:eastAsia="微软雅黑" w:cs="微软雅黑"/>
          <w:color w:val="333333"/>
          <w:shd w:val="clear" w:color="auto" w:fill="FFFFFF"/>
          <w:lang w:val="en-US" w:eastAsia="zh-CN"/>
        </w:rPr>
        <w:t>1</w:t>
      </w:r>
      <w:r>
        <w:rPr>
          <w:rStyle w:val="11"/>
          <w:rFonts w:hint="eastAsia" w:ascii="微软雅黑" w:hAnsi="微软雅黑" w:eastAsia="微软雅黑" w:cs="微软雅黑"/>
          <w:color w:val="333333"/>
          <w:shd w:val="clear" w:color="auto" w:fill="FFFFFF"/>
        </w:rPr>
        <w:t>年部门决算情况说明</w:t>
      </w:r>
    </w:p>
    <w:p w14:paraId="55BB9D6F">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bCs/>
          <w:sz w:val="28"/>
          <w:szCs w:val="28"/>
        </w:rPr>
      </w:pPr>
      <w:r>
        <w:rPr>
          <w:rFonts w:hint="eastAsia" w:ascii="宋体" w:hAnsi="宋体" w:cs="宋体"/>
          <w:b/>
          <w:bCs/>
          <w:sz w:val="28"/>
          <w:szCs w:val="28"/>
        </w:rPr>
        <w:t>预算执行情况分析</w:t>
      </w:r>
    </w:p>
    <w:p w14:paraId="3F1D1EC2">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宋体" w:hAnsi="宋体" w:eastAsiaTheme="minorEastAsia"/>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w:t>
      </w:r>
      <w:r>
        <w:rPr>
          <w:rFonts w:hint="eastAsia" w:ascii="宋体" w:hAnsi="宋体"/>
          <w:kern w:val="0"/>
          <w:sz w:val="28"/>
          <w:szCs w:val="28"/>
          <w:lang w:val="en-US" w:eastAsia="zh-CN"/>
        </w:rPr>
        <w:t>总</w:t>
      </w:r>
      <w:r>
        <w:rPr>
          <w:rFonts w:hint="eastAsia" w:ascii="宋体" w:hAnsi="宋体"/>
          <w:kern w:val="0"/>
          <w:sz w:val="28"/>
          <w:szCs w:val="28"/>
        </w:rPr>
        <w:t>收入</w:t>
      </w:r>
      <w:r>
        <w:rPr>
          <w:rFonts w:hint="eastAsia" w:ascii="宋体" w:hAnsi="宋体"/>
          <w:kern w:val="0"/>
          <w:sz w:val="28"/>
          <w:szCs w:val="28"/>
          <w:lang w:val="en-US" w:eastAsia="zh-CN"/>
        </w:rPr>
        <w:t>18042.74万</w:t>
      </w:r>
      <w:r>
        <w:rPr>
          <w:rFonts w:hint="eastAsia" w:ascii="宋体" w:hAnsi="宋体"/>
          <w:kern w:val="0"/>
          <w:sz w:val="28"/>
          <w:szCs w:val="28"/>
        </w:rPr>
        <w:t>元，</w:t>
      </w:r>
      <w:r>
        <w:rPr>
          <w:rFonts w:hint="eastAsia" w:ascii="宋体" w:hAnsi="宋体"/>
          <w:kern w:val="0"/>
          <w:sz w:val="28"/>
          <w:szCs w:val="28"/>
          <w:lang w:eastAsia="zh-CN"/>
        </w:rPr>
        <w:t>较年初预算数</w:t>
      </w:r>
      <w:r>
        <w:rPr>
          <w:rFonts w:hint="eastAsia" w:ascii="宋体" w:hAnsi="宋体"/>
          <w:kern w:val="0"/>
          <w:sz w:val="28"/>
          <w:szCs w:val="28"/>
          <w:lang w:val="en-US" w:eastAsia="zh-CN"/>
        </w:rPr>
        <w:t>121.5227万元，增加了17921.2173万元，同比增幅为14747%。主要原因是城市更新老旧小区改造等项目建设资金没有列入年初预算数之中。较2020年财政收入6040.57万元增加了12002.17万元，增幅为198.69%。主要原因是随着城市更新工作进一步深入，老旧小区改造项目增加，</w:t>
      </w:r>
    </w:p>
    <w:p w14:paraId="2FB63CCD">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ajorEastAsia" w:hAnsiTheme="majorEastAsia" w:eastAsiaTheme="majorEastAsia" w:cstheme="majorEastAsia"/>
          <w:color w:val="000000"/>
          <w:spacing w:val="2"/>
          <w:sz w:val="28"/>
          <w:szCs w:val="28"/>
        </w:rPr>
      </w:pPr>
      <w:r>
        <w:rPr>
          <w:rFonts w:hint="eastAsia" w:asciiTheme="majorEastAsia" w:hAnsiTheme="majorEastAsia" w:eastAsiaTheme="majorEastAsia" w:cstheme="majorEastAsia"/>
          <w:color w:val="000000"/>
          <w:spacing w:val="2"/>
          <w:sz w:val="28"/>
          <w:szCs w:val="28"/>
        </w:rPr>
        <w:t>1</w:t>
      </w:r>
      <w:r>
        <w:rPr>
          <w:rFonts w:hint="eastAsia" w:asciiTheme="majorEastAsia" w:hAnsiTheme="majorEastAsia" w:eastAsiaTheme="majorEastAsia" w:cstheme="majorEastAsia"/>
          <w:color w:val="000000"/>
          <w:spacing w:val="2"/>
          <w:sz w:val="28"/>
          <w:szCs w:val="28"/>
          <w:lang w:val="en-US" w:eastAsia="zh-CN"/>
        </w:rPr>
        <w:t>.</w:t>
      </w:r>
      <w:r>
        <w:rPr>
          <w:rFonts w:hint="eastAsia" w:asciiTheme="majorEastAsia" w:hAnsiTheme="majorEastAsia" w:eastAsiaTheme="majorEastAsia" w:cstheme="majorEastAsia"/>
          <w:color w:val="000000"/>
          <w:spacing w:val="2"/>
          <w:sz w:val="28"/>
          <w:szCs w:val="28"/>
        </w:rPr>
        <w:t>收入支出与预算对比分析</w:t>
      </w:r>
    </w:p>
    <w:p w14:paraId="5663C162">
      <w:pPr>
        <w:keepNext w:val="0"/>
        <w:keepLines w:val="0"/>
        <w:pageBreakBefore w:val="0"/>
        <w:widowControl/>
        <w:kinsoku/>
        <w:wordWrap/>
        <w:overflowPunct/>
        <w:topLinePunct w:val="0"/>
        <w:autoSpaceDE/>
        <w:autoSpaceDN/>
        <w:bidi w:val="0"/>
        <w:adjustRightInd/>
        <w:snapToGrid/>
        <w:spacing w:line="520" w:lineRule="exact"/>
        <w:ind w:firstLine="548" w:firstLineChars="196"/>
        <w:textAlignment w:val="auto"/>
        <w:rPr>
          <w:rFonts w:hint="eastAsia" w:ascii="宋体" w:hAnsi="宋体"/>
          <w:kern w:val="0"/>
          <w:sz w:val="28"/>
          <w:szCs w:val="28"/>
          <w:lang w:val="en-US" w:eastAsia="zh-CN"/>
        </w:rPr>
      </w:pPr>
      <w:r>
        <w:rPr>
          <w:rFonts w:hint="eastAsia" w:ascii="宋体" w:hAnsi="宋体"/>
          <w:kern w:val="0"/>
          <w:sz w:val="28"/>
          <w:szCs w:val="28"/>
        </w:rPr>
        <w:t>2020年收入6040.57</w:t>
      </w:r>
      <w:r>
        <w:rPr>
          <w:rFonts w:hint="eastAsia" w:ascii="宋体" w:hAnsi="宋体"/>
          <w:kern w:val="0"/>
          <w:sz w:val="28"/>
          <w:szCs w:val="28"/>
          <w:lang w:val="en-US" w:eastAsia="zh-CN"/>
        </w:rPr>
        <w:t>万</w:t>
      </w:r>
      <w:r>
        <w:rPr>
          <w:rFonts w:hint="eastAsia" w:ascii="宋体" w:hAnsi="宋体"/>
          <w:kern w:val="0"/>
          <w:sz w:val="28"/>
          <w:szCs w:val="28"/>
        </w:rPr>
        <w:t>元，其中</w:t>
      </w:r>
      <w:r>
        <w:rPr>
          <w:rFonts w:hint="eastAsia" w:ascii="宋体" w:hAnsi="宋体"/>
          <w:kern w:val="0"/>
          <w:sz w:val="28"/>
          <w:szCs w:val="28"/>
          <w:lang w:val="en-US" w:eastAsia="zh-CN"/>
        </w:rPr>
        <w:t>一般公共预算财政拨款收入4097.12万元，其他收入1943.45万元；</w:t>
      </w:r>
      <w:r>
        <w:rPr>
          <w:rFonts w:hint="eastAsia" w:ascii="宋体" w:hAnsi="宋体"/>
          <w:kern w:val="0"/>
          <w:sz w:val="28"/>
          <w:szCs w:val="28"/>
        </w:rPr>
        <w:t>2020年支出6040.57</w:t>
      </w:r>
      <w:r>
        <w:rPr>
          <w:rFonts w:hint="eastAsia" w:ascii="宋体" w:hAnsi="宋体"/>
          <w:kern w:val="0"/>
          <w:sz w:val="28"/>
          <w:szCs w:val="28"/>
          <w:lang w:val="en-US" w:eastAsia="zh-CN"/>
        </w:rPr>
        <w:t>万</w:t>
      </w:r>
      <w:r>
        <w:rPr>
          <w:rFonts w:hint="eastAsia" w:ascii="宋体" w:hAnsi="宋体"/>
          <w:kern w:val="0"/>
          <w:sz w:val="28"/>
          <w:szCs w:val="28"/>
        </w:rPr>
        <w:t>元，其中人员经费409.44</w:t>
      </w:r>
      <w:r>
        <w:rPr>
          <w:rFonts w:hint="eastAsia" w:ascii="宋体" w:hAnsi="宋体"/>
          <w:kern w:val="0"/>
          <w:sz w:val="28"/>
          <w:szCs w:val="28"/>
          <w:lang w:val="en-US" w:eastAsia="zh-CN"/>
        </w:rPr>
        <w:t>万</w:t>
      </w:r>
      <w:r>
        <w:rPr>
          <w:rFonts w:hint="eastAsia" w:ascii="宋体" w:hAnsi="宋体"/>
          <w:kern w:val="0"/>
          <w:sz w:val="28"/>
          <w:szCs w:val="28"/>
        </w:rPr>
        <w:t>元，公用经费3687.68</w:t>
      </w:r>
      <w:r>
        <w:rPr>
          <w:rFonts w:hint="eastAsia" w:ascii="宋体" w:hAnsi="宋体"/>
          <w:kern w:val="0"/>
          <w:sz w:val="28"/>
          <w:szCs w:val="28"/>
          <w:lang w:eastAsia="zh-CN"/>
        </w:rPr>
        <w:t>，</w:t>
      </w:r>
      <w:r>
        <w:rPr>
          <w:rFonts w:hint="eastAsia" w:ascii="宋体" w:hAnsi="宋体"/>
          <w:kern w:val="0"/>
          <w:sz w:val="28"/>
          <w:szCs w:val="28"/>
          <w:lang w:val="en-US" w:eastAsia="zh-CN"/>
        </w:rPr>
        <w:t>其他支出1943.45万元。</w:t>
      </w:r>
    </w:p>
    <w:p w14:paraId="2521DE88">
      <w:pPr>
        <w:keepNext w:val="0"/>
        <w:keepLines w:val="0"/>
        <w:pageBreakBefore w:val="0"/>
        <w:widowControl/>
        <w:kinsoku/>
        <w:wordWrap/>
        <w:overflowPunct/>
        <w:topLinePunct w:val="0"/>
        <w:autoSpaceDE/>
        <w:autoSpaceDN/>
        <w:bidi w:val="0"/>
        <w:adjustRightInd/>
        <w:snapToGrid/>
        <w:spacing w:line="520" w:lineRule="exact"/>
        <w:ind w:firstLine="548" w:firstLineChars="196"/>
        <w:textAlignment w:val="auto"/>
        <w:rPr>
          <w:rFonts w:hint="eastAsia" w:ascii="宋体" w:hAnsi="宋体"/>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年收入</w:t>
      </w:r>
      <w:r>
        <w:rPr>
          <w:rFonts w:hint="eastAsia" w:ascii="宋体" w:hAnsi="宋体"/>
          <w:kern w:val="0"/>
          <w:sz w:val="28"/>
          <w:szCs w:val="28"/>
          <w:lang w:val="en-US" w:eastAsia="zh-CN"/>
        </w:rPr>
        <w:t>18042.74万</w:t>
      </w:r>
      <w:r>
        <w:rPr>
          <w:rFonts w:hint="eastAsia" w:ascii="宋体" w:hAnsi="宋体"/>
          <w:kern w:val="0"/>
          <w:sz w:val="28"/>
          <w:szCs w:val="28"/>
        </w:rPr>
        <w:t>元，</w:t>
      </w:r>
      <w:r>
        <w:rPr>
          <w:rFonts w:hint="eastAsia" w:ascii="宋体" w:hAnsi="宋体"/>
          <w:kern w:val="0"/>
          <w:sz w:val="28"/>
          <w:szCs w:val="28"/>
          <w:lang w:val="en-US" w:eastAsia="zh-CN"/>
        </w:rPr>
        <w:t>其中一般公共预算财政拨款收入8430.93万元，其他收入9611.81万元。</w:t>
      </w: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w:t>
      </w:r>
      <w:r>
        <w:rPr>
          <w:rFonts w:hint="eastAsia" w:ascii="宋体" w:hAnsi="宋体"/>
          <w:kern w:val="0"/>
          <w:sz w:val="28"/>
          <w:szCs w:val="28"/>
          <w:lang w:val="en-US" w:eastAsia="zh-CN"/>
        </w:rPr>
        <w:t>支出18042.74万</w:t>
      </w:r>
      <w:r>
        <w:rPr>
          <w:rFonts w:hint="eastAsia" w:ascii="宋体" w:hAnsi="宋体"/>
          <w:kern w:val="0"/>
          <w:sz w:val="28"/>
          <w:szCs w:val="28"/>
        </w:rPr>
        <w:t>元，人员经费484.96</w:t>
      </w:r>
      <w:r>
        <w:rPr>
          <w:rFonts w:hint="eastAsia" w:ascii="宋体" w:hAnsi="宋体"/>
          <w:kern w:val="0"/>
          <w:sz w:val="28"/>
          <w:szCs w:val="28"/>
          <w:lang w:val="en-US" w:eastAsia="zh-CN"/>
        </w:rPr>
        <w:t>万</w:t>
      </w:r>
      <w:r>
        <w:rPr>
          <w:rFonts w:hint="eastAsia" w:ascii="宋体" w:hAnsi="宋体"/>
          <w:kern w:val="0"/>
          <w:sz w:val="28"/>
          <w:szCs w:val="28"/>
        </w:rPr>
        <w:t>元，公用经费</w:t>
      </w:r>
      <w:r>
        <w:rPr>
          <w:rFonts w:hint="eastAsia" w:ascii="宋体" w:hAnsi="宋体"/>
          <w:kern w:val="0"/>
          <w:sz w:val="28"/>
          <w:szCs w:val="28"/>
          <w:lang w:val="en-US" w:eastAsia="zh-CN"/>
        </w:rPr>
        <w:t>7945.97万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lang w:val="en-US" w:eastAsia="zh-CN"/>
        </w:rPr>
        <w:t>其他支出9611.81万元。</w:t>
      </w:r>
    </w:p>
    <w:p w14:paraId="1CEAC9B0">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宋体" w:hAnsi="宋体"/>
          <w:kern w:val="0"/>
          <w:sz w:val="28"/>
          <w:szCs w:val="28"/>
          <w:lang w:val="en-US"/>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年收入</w:t>
      </w:r>
      <w:r>
        <w:rPr>
          <w:rFonts w:hint="eastAsia" w:ascii="宋体" w:hAnsi="宋体"/>
          <w:kern w:val="0"/>
          <w:sz w:val="28"/>
          <w:szCs w:val="28"/>
          <w:lang w:eastAsia="zh-CN"/>
        </w:rPr>
        <w:t>较年初预算数</w:t>
      </w:r>
      <w:r>
        <w:rPr>
          <w:rFonts w:hint="eastAsia" w:ascii="宋体" w:hAnsi="宋体"/>
          <w:kern w:val="0"/>
          <w:sz w:val="28"/>
          <w:szCs w:val="28"/>
          <w:lang w:val="en-US" w:eastAsia="zh-CN"/>
        </w:rPr>
        <w:t>121.5227万元，增加了17921.2173万元，同比增幅为14747%，一般公共预算财政拨款收入较年初预算增长6837.73%，主要原因是城市更新老旧小区改造等项目建设资金没有列入年初预算数之中。</w:t>
      </w: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w:t>
      </w:r>
      <w:r>
        <w:rPr>
          <w:rFonts w:hint="eastAsia" w:ascii="宋体" w:hAnsi="宋体"/>
          <w:kern w:val="0"/>
          <w:sz w:val="28"/>
          <w:szCs w:val="28"/>
          <w:lang w:val="en-US" w:eastAsia="zh-CN"/>
        </w:rPr>
        <w:t>支出</w:t>
      </w:r>
      <w:r>
        <w:rPr>
          <w:rFonts w:hint="eastAsia" w:ascii="宋体" w:hAnsi="宋体"/>
          <w:kern w:val="0"/>
          <w:sz w:val="28"/>
          <w:szCs w:val="28"/>
        </w:rPr>
        <w:t>安排比上年</w:t>
      </w:r>
      <w:r>
        <w:rPr>
          <w:rFonts w:hint="eastAsia" w:ascii="宋体" w:hAnsi="宋体"/>
          <w:kern w:val="0"/>
          <w:sz w:val="28"/>
          <w:szCs w:val="28"/>
          <w:lang w:val="en-US" w:eastAsia="zh-CN"/>
        </w:rPr>
        <w:t>增加12002.14万元。原因为老旧小区改造业务量增加。</w:t>
      </w:r>
    </w:p>
    <w:p w14:paraId="261D422F">
      <w:pPr>
        <w:keepNext w:val="0"/>
        <w:keepLines w:val="0"/>
        <w:pageBreakBefore w:val="0"/>
        <w:widowControl/>
        <w:kinsoku/>
        <w:wordWrap/>
        <w:overflowPunct/>
        <w:topLinePunct w:val="0"/>
        <w:autoSpaceDE/>
        <w:autoSpaceDN/>
        <w:bidi w:val="0"/>
        <w:adjustRightInd/>
        <w:snapToGrid/>
        <w:spacing w:line="520" w:lineRule="exact"/>
        <w:ind w:firstLine="556" w:firstLineChars="196"/>
        <w:textAlignment w:val="auto"/>
        <w:rPr>
          <w:rFonts w:asciiTheme="majorEastAsia" w:hAnsiTheme="majorEastAsia" w:eastAsiaTheme="majorEastAsia" w:cstheme="majorEastAsia"/>
          <w:color w:val="000000"/>
          <w:spacing w:val="2"/>
          <w:sz w:val="28"/>
          <w:szCs w:val="28"/>
        </w:rPr>
      </w:pPr>
      <w:r>
        <w:rPr>
          <w:rFonts w:hint="eastAsia" w:asciiTheme="majorEastAsia" w:hAnsiTheme="majorEastAsia" w:eastAsiaTheme="majorEastAsia" w:cstheme="majorEastAsia"/>
          <w:color w:val="000000"/>
          <w:spacing w:val="2"/>
          <w:sz w:val="28"/>
          <w:szCs w:val="28"/>
          <w:lang w:val="en-US" w:eastAsia="zh-CN"/>
        </w:rPr>
        <w:t>2.</w:t>
      </w:r>
      <w:r>
        <w:rPr>
          <w:rFonts w:hint="eastAsia" w:asciiTheme="majorEastAsia" w:hAnsiTheme="majorEastAsia" w:eastAsiaTheme="majorEastAsia" w:cstheme="majorEastAsia"/>
          <w:color w:val="000000"/>
          <w:spacing w:val="2"/>
          <w:sz w:val="28"/>
          <w:szCs w:val="28"/>
        </w:rPr>
        <w:t>收入支出结构分析</w:t>
      </w:r>
    </w:p>
    <w:p w14:paraId="06B09A8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年全年总收入</w:t>
      </w:r>
      <w:r>
        <w:rPr>
          <w:rFonts w:hint="eastAsia" w:ascii="宋体" w:hAnsi="宋体"/>
          <w:kern w:val="0"/>
          <w:sz w:val="28"/>
          <w:szCs w:val="28"/>
          <w:lang w:val="en-US" w:eastAsia="zh-CN"/>
        </w:rPr>
        <w:t>18042.74万</w:t>
      </w:r>
      <w:r>
        <w:rPr>
          <w:rFonts w:hint="eastAsia" w:ascii="宋体" w:hAnsi="宋体"/>
          <w:kern w:val="0"/>
          <w:sz w:val="28"/>
          <w:szCs w:val="28"/>
        </w:rPr>
        <w:t>元,其中</w:t>
      </w:r>
      <w:r>
        <w:rPr>
          <w:rFonts w:hint="eastAsia" w:ascii="宋体" w:hAnsi="宋体"/>
          <w:kern w:val="0"/>
          <w:sz w:val="28"/>
          <w:szCs w:val="28"/>
          <w:lang w:eastAsia="zh-CN"/>
        </w:rPr>
        <w:t>财政拨款</w:t>
      </w:r>
      <w:r>
        <w:rPr>
          <w:rFonts w:hint="eastAsia" w:ascii="宋体" w:hAnsi="宋体"/>
          <w:kern w:val="0"/>
          <w:sz w:val="28"/>
          <w:szCs w:val="28"/>
        </w:rPr>
        <w:t>决算收入</w:t>
      </w:r>
      <w:r>
        <w:rPr>
          <w:rFonts w:hint="eastAsia" w:ascii="宋体" w:hAnsi="宋体"/>
          <w:kern w:val="0"/>
          <w:sz w:val="28"/>
          <w:szCs w:val="28"/>
          <w:lang w:val="en-US" w:eastAsia="zh-CN"/>
        </w:rPr>
        <w:t>8430.93万</w:t>
      </w:r>
      <w:r>
        <w:rPr>
          <w:rFonts w:hint="eastAsia" w:ascii="宋体" w:hAnsi="宋体"/>
          <w:kern w:val="0"/>
          <w:sz w:val="28"/>
          <w:szCs w:val="28"/>
        </w:rPr>
        <w:t>元,其它收入</w:t>
      </w:r>
      <w:r>
        <w:rPr>
          <w:rFonts w:hint="eastAsia" w:ascii="宋体" w:hAnsi="宋体"/>
          <w:kern w:val="0"/>
          <w:sz w:val="28"/>
          <w:szCs w:val="28"/>
          <w:lang w:val="en-US" w:eastAsia="zh-CN"/>
        </w:rPr>
        <w:t>9611.81万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年全年总支出</w:t>
      </w:r>
      <w:r>
        <w:rPr>
          <w:rFonts w:hint="eastAsia" w:ascii="宋体" w:hAnsi="宋体"/>
          <w:kern w:val="0"/>
          <w:sz w:val="28"/>
          <w:szCs w:val="28"/>
          <w:lang w:val="en-US" w:eastAsia="zh-CN"/>
        </w:rPr>
        <w:t>18042.74万</w:t>
      </w:r>
      <w:r>
        <w:rPr>
          <w:rFonts w:hint="eastAsia" w:ascii="宋体" w:hAnsi="宋体"/>
          <w:kern w:val="0"/>
          <w:sz w:val="28"/>
          <w:szCs w:val="28"/>
        </w:rPr>
        <w:t>元,其中</w:t>
      </w:r>
      <w:r>
        <w:rPr>
          <w:rFonts w:hint="eastAsia" w:ascii="宋体" w:hAnsi="宋体"/>
          <w:kern w:val="0"/>
          <w:sz w:val="28"/>
          <w:szCs w:val="28"/>
          <w:lang w:eastAsia="zh-CN"/>
        </w:rPr>
        <w:t>财政拨款</w:t>
      </w:r>
      <w:r>
        <w:rPr>
          <w:rFonts w:hint="eastAsia" w:ascii="宋体" w:hAnsi="宋体"/>
          <w:kern w:val="0"/>
          <w:sz w:val="28"/>
          <w:szCs w:val="28"/>
        </w:rPr>
        <w:t>决算支出</w:t>
      </w:r>
      <w:r>
        <w:rPr>
          <w:rFonts w:hint="eastAsia" w:ascii="宋体" w:hAnsi="宋体"/>
          <w:kern w:val="0"/>
          <w:sz w:val="28"/>
          <w:szCs w:val="28"/>
          <w:lang w:val="en-US" w:eastAsia="zh-CN"/>
        </w:rPr>
        <w:t>8430.93万</w:t>
      </w:r>
      <w:r>
        <w:rPr>
          <w:rFonts w:hint="eastAsia" w:ascii="宋体" w:hAnsi="宋体"/>
          <w:kern w:val="0"/>
          <w:sz w:val="28"/>
          <w:szCs w:val="28"/>
        </w:rPr>
        <w:t>元,其它</w:t>
      </w:r>
      <w:r>
        <w:rPr>
          <w:rFonts w:hint="eastAsia" w:ascii="宋体" w:hAnsi="宋体"/>
          <w:kern w:val="0"/>
          <w:sz w:val="28"/>
          <w:szCs w:val="28"/>
          <w:lang w:val="en-US" w:eastAsia="zh-CN"/>
        </w:rPr>
        <w:t>支出9611.81万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lang w:val="en-US" w:eastAsia="zh-CN"/>
        </w:rPr>
        <w:t>比去年6040.57 万元增加12002.17万元，增幅198.69%，其主要原因为老旧小区改造项目增加所致，与年初预算121.5227万元对比增加了17921.2173万元，增幅14747%，其主要原因为老旧小区改造项目未列入年初预算之中。</w:t>
      </w:r>
      <w:r>
        <w:rPr>
          <w:rFonts w:hint="eastAsia" w:ascii="宋体" w:hAnsi="宋体"/>
          <w:kern w:val="0"/>
          <w:sz w:val="28"/>
          <w:szCs w:val="28"/>
        </w:rPr>
        <w:t>支出按以下分类说明：</w:t>
      </w:r>
    </w:p>
    <w:p w14:paraId="7F7E374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（1）支出功能分类：总支出</w:t>
      </w:r>
      <w:r>
        <w:rPr>
          <w:rFonts w:hint="eastAsia" w:ascii="宋体" w:hAnsi="宋体"/>
          <w:kern w:val="0"/>
          <w:sz w:val="28"/>
          <w:szCs w:val="28"/>
          <w:lang w:val="en-US" w:eastAsia="zh-CN"/>
        </w:rPr>
        <w:t>18042.74万</w:t>
      </w:r>
      <w:r>
        <w:rPr>
          <w:rFonts w:hint="eastAsia" w:ascii="宋体" w:hAnsi="宋体"/>
          <w:kern w:val="0"/>
          <w:sz w:val="28"/>
          <w:szCs w:val="28"/>
        </w:rPr>
        <w:t>元;其中：节能环保支出</w:t>
      </w:r>
      <w:r>
        <w:rPr>
          <w:rFonts w:hint="eastAsia" w:ascii="宋体" w:hAnsi="宋体"/>
          <w:kern w:val="0"/>
          <w:sz w:val="28"/>
          <w:szCs w:val="28"/>
          <w:lang w:val="en-US" w:eastAsia="zh-CN"/>
        </w:rPr>
        <w:t>836.83万</w:t>
      </w:r>
      <w:r>
        <w:rPr>
          <w:rFonts w:hint="eastAsia" w:ascii="宋体" w:hAnsi="宋体"/>
          <w:kern w:val="0"/>
          <w:sz w:val="28"/>
          <w:szCs w:val="28"/>
        </w:rPr>
        <w:t>元，城乡社区管理事务支出</w:t>
      </w:r>
      <w:r>
        <w:rPr>
          <w:rFonts w:hint="eastAsia" w:ascii="宋体" w:hAnsi="宋体"/>
          <w:kern w:val="0"/>
          <w:sz w:val="28"/>
          <w:szCs w:val="28"/>
          <w:lang w:val="en-US" w:eastAsia="zh-CN"/>
        </w:rPr>
        <w:t>12115.87万</w:t>
      </w:r>
      <w:r>
        <w:rPr>
          <w:rFonts w:hint="eastAsia" w:ascii="宋体" w:hAnsi="宋体"/>
          <w:kern w:val="0"/>
          <w:sz w:val="28"/>
          <w:szCs w:val="28"/>
        </w:rPr>
        <w:t>元，</w:t>
      </w:r>
      <w:r>
        <w:rPr>
          <w:rFonts w:hint="eastAsia" w:ascii="宋体" w:hAnsi="宋体"/>
          <w:kern w:val="0"/>
          <w:sz w:val="28"/>
          <w:szCs w:val="28"/>
          <w:lang w:val="en-US" w:eastAsia="zh-CN"/>
        </w:rPr>
        <w:t>交通运输支出88万元，住房保障（老旧小区改造）</w:t>
      </w:r>
      <w:r>
        <w:rPr>
          <w:rFonts w:hint="eastAsia" w:ascii="宋体" w:hAnsi="宋体"/>
          <w:kern w:val="0"/>
          <w:sz w:val="28"/>
          <w:szCs w:val="28"/>
        </w:rPr>
        <w:t>支出</w:t>
      </w:r>
      <w:r>
        <w:rPr>
          <w:rFonts w:hint="eastAsia" w:ascii="宋体" w:hAnsi="宋体"/>
          <w:kern w:val="0"/>
          <w:sz w:val="28"/>
          <w:szCs w:val="28"/>
          <w:lang w:val="en-US" w:eastAsia="zh-CN"/>
        </w:rPr>
        <w:t>5002.05万</w:t>
      </w:r>
      <w:r>
        <w:rPr>
          <w:rFonts w:hint="eastAsia" w:ascii="宋体" w:hAnsi="宋体"/>
          <w:kern w:val="0"/>
          <w:sz w:val="28"/>
          <w:szCs w:val="28"/>
        </w:rPr>
        <w:t>元。</w:t>
      </w:r>
    </w:p>
    <w:p w14:paraId="015C83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rPr>
      </w:pPr>
      <w:r>
        <w:rPr>
          <w:rFonts w:hint="eastAsia" w:ascii="宋体" w:hAnsi="宋体"/>
          <w:kern w:val="0"/>
          <w:sz w:val="28"/>
          <w:szCs w:val="28"/>
        </w:rPr>
        <w:t>（2）支出性质分类：总支出</w:t>
      </w:r>
      <w:r>
        <w:rPr>
          <w:rFonts w:hint="eastAsia" w:ascii="宋体" w:hAnsi="宋体"/>
          <w:kern w:val="0"/>
          <w:sz w:val="28"/>
          <w:szCs w:val="28"/>
          <w:lang w:val="en-US" w:eastAsia="zh-CN"/>
        </w:rPr>
        <w:t>18042.74万</w:t>
      </w:r>
      <w:r>
        <w:rPr>
          <w:rFonts w:hint="eastAsia" w:ascii="宋体" w:hAnsi="宋体"/>
          <w:kern w:val="0"/>
          <w:sz w:val="28"/>
          <w:szCs w:val="28"/>
        </w:rPr>
        <w:t>元，其中：人员经费484.96</w:t>
      </w:r>
      <w:r>
        <w:rPr>
          <w:rFonts w:hint="eastAsia" w:ascii="宋体" w:hAnsi="宋体"/>
          <w:kern w:val="0"/>
          <w:sz w:val="28"/>
          <w:szCs w:val="28"/>
          <w:lang w:val="en-US" w:eastAsia="zh-CN"/>
        </w:rPr>
        <w:t>万</w:t>
      </w:r>
      <w:r>
        <w:rPr>
          <w:rFonts w:hint="eastAsia" w:ascii="宋体" w:hAnsi="宋体"/>
          <w:kern w:val="0"/>
          <w:sz w:val="28"/>
          <w:szCs w:val="28"/>
        </w:rPr>
        <w:t>元，公用经费</w:t>
      </w:r>
      <w:r>
        <w:rPr>
          <w:rFonts w:hint="eastAsia" w:ascii="宋体" w:hAnsi="宋体"/>
          <w:kern w:val="0"/>
          <w:sz w:val="28"/>
          <w:szCs w:val="28"/>
          <w:lang w:val="en-US" w:eastAsia="zh-CN"/>
        </w:rPr>
        <w:t>7945.97万</w:t>
      </w:r>
      <w:r>
        <w:rPr>
          <w:rFonts w:hint="eastAsia" w:ascii="宋体" w:hAnsi="宋体"/>
          <w:kern w:val="0"/>
          <w:sz w:val="28"/>
          <w:szCs w:val="28"/>
        </w:rPr>
        <w:t>元;</w:t>
      </w:r>
      <w:r>
        <w:rPr>
          <w:rFonts w:hint="eastAsia" w:ascii="宋体" w:hAnsi="宋体"/>
          <w:kern w:val="0"/>
          <w:sz w:val="28"/>
          <w:szCs w:val="28"/>
          <w:lang w:val="en-US" w:eastAsia="zh-CN"/>
        </w:rPr>
        <w:t>其他支出9611.81万元。</w:t>
      </w:r>
      <w:r>
        <w:rPr>
          <w:rFonts w:hint="eastAsia" w:ascii="宋体" w:hAnsi="宋体"/>
          <w:kern w:val="0"/>
          <w:sz w:val="28"/>
          <w:szCs w:val="28"/>
        </w:rPr>
        <w:t xml:space="preserve"> </w:t>
      </w:r>
    </w:p>
    <w:p w14:paraId="7F8B6B98">
      <w:pPr>
        <w:keepNext w:val="0"/>
        <w:keepLines w:val="0"/>
        <w:pageBreakBefore w:val="0"/>
        <w:kinsoku/>
        <w:wordWrap/>
        <w:overflowPunct/>
        <w:topLinePunct w:val="0"/>
        <w:autoSpaceDE/>
        <w:autoSpaceDN/>
        <w:bidi w:val="0"/>
        <w:adjustRightInd/>
        <w:snapToGrid/>
        <w:spacing w:line="520" w:lineRule="exact"/>
        <w:ind w:firstLine="700" w:firstLineChars="250"/>
        <w:textAlignment w:val="auto"/>
        <w:rPr>
          <w:rFonts w:hint="eastAsia" w:ascii="宋体" w:hAnsi="宋体" w:eastAsiaTheme="minorEastAsia"/>
          <w:kern w:val="0"/>
          <w:sz w:val="28"/>
          <w:szCs w:val="28"/>
          <w:lang w:eastAsia="zh-CN"/>
        </w:rPr>
      </w:pPr>
      <w:r>
        <w:rPr>
          <w:rFonts w:hint="eastAsia" w:ascii="宋体" w:hAnsi="宋体"/>
          <w:kern w:val="0"/>
          <w:sz w:val="28"/>
          <w:szCs w:val="28"/>
        </w:rPr>
        <w:t>(3)支出经济分类：总支出</w:t>
      </w:r>
      <w:r>
        <w:rPr>
          <w:rFonts w:hint="eastAsia" w:ascii="宋体" w:hAnsi="宋体"/>
          <w:kern w:val="0"/>
          <w:sz w:val="28"/>
          <w:szCs w:val="28"/>
          <w:lang w:val="en-US" w:eastAsia="zh-CN"/>
        </w:rPr>
        <w:t>18042.74万</w:t>
      </w:r>
      <w:r>
        <w:rPr>
          <w:rFonts w:hint="eastAsia" w:ascii="宋体" w:hAnsi="宋体"/>
          <w:kern w:val="0"/>
          <w:sz w:val="28"/>
          <w:szCs w:val="28"/>
        </w:rPr>
        <w:t>元，其中：工资福利支出</w:t>
      </w:r>
      <w:r>
        <w:rPr>
          <w:rFonts w:hint="eastAsia" w:ascii="宋体" w:hAnsi="宋体"/>
          <w:kern w:val="0"/>
          <w:sz w:val="28"/>
          <w:szCs w:val="28"/>
          <w:lang w:val="en-US" w:eastAsia="zh-CN"/>
        </w:rPr>
        <w:t>458.55万</w:t>
      </w:r>
      <w:r>
        <w:rPr>
          <w:rFonts w:hint="eastAsia" w:ascii="宋体" w:hAnsi="宋体"/>
          <w:kern w:val="0"/>
          <w:sz w:val="28"/>
          <w:szCs w:val="28"/>
        </w:rPr>
        <w:t>元，商品服务支出</w:t>
      </w:r>
      <w:r>
        <w:rPr>
          <w:rFonts w:hint="eastAsia" w:ascii="宋体" w:hAnsi="宋体"/>
          <w:kern w:val="0"/>
          <w:sz w:val="28"/>
          <w:szCs w:val="28"/>
          <w:lang w:val="en-US" w:eastAsia="zh-CN"/>
        </w:rPr>
        <w:t>7936.39万</w:t>
      </w:r>
      <w:r>
        <w:rPr>
          <w:rFonts w:hint="eastAsia" w:ascii="宋体" w:hAnsi="宋体"/>
          <w:kern w:val="0"/>
          <w:sz w:val="28"/>
          <w:szCs w:val="28"/>
        </w:rPr>
        <w:t>元，对个人和家庭的补助支出</w:t>
      </w:r>
      <w:r>
        <w:rPr>
          <w:rFonts w:hint="eastAsia" w:ascii="宋体" w:hAnsi="宋体"/>
          <w:kern w:val="0"/>
          <w:sz w:val="28"/>
          <w:szCs w:val="28"/>
          <w:lang w:val="en-US" w:eastAsia="zh-CN"/>
        </w:rPr>
        <w:t>26.42万元</w:t>
      </w:r>
      <w:r>
        <w:rPr>
          <w:rFonts w:hint="eastAsia" w:ascii="宋体" w:hAnsi="宋体"/>
          <w:kern w:val="0"/>
          <w:sz w:val="28"/>
          <w:szCs w:val="28"/>
        </w:rPr>
        <w:t>元</w:t>
      </w:r>
      <w:r>
        <w:rPr>
          <w:rFonts w:hint="eastAsia" w:ascii="宋体" w:hAnsi="宋体"/>
          <w:kern w:val="0"/>
          <w:sz w:val="28"/>
          <w:szCs w:val="28"/>
          <w:lang w:eastAsia="zh-CN"/>
        </w:rPr>
        <w:t>。</w:t>
      </w:r>
    </w:p>
    <w:p w14:paraId="304DC914">
      <w:pPr>
        <w:keepNext w:val="0"/>
        <w:keepLines w:val="0"/>
        <w:pageBreakBefore w:val="0"/>
        <w:kinsoku/>
        <w:wordWrap/>
        <w:overflowPunct/>
        <w:topLinePunct w:val="0"/>
        <w:autoSpaceDE/>
        <w:autoSpaceDN/>
        <w:bidi w:val="0"/>
        <w:adjustRightInd/>
        <w:snapToGrid/>
        <w:spacing w:line="520" w:lineRule="exact"/>
        <w:ind w:firstLine="570" w:firstLineChars="200"/>
        <w:textAlignment w:val="auto"/>
        <w:rPr>
          <w:rFonts w:asciiTheme="minorEastAsia" w:hAnsiTheme="minorEastAsia" w:cstheme="minorEastAsia"/>
          <w:b/>
          <w:bCs/>
          <w:color w:val="000000"/>
          <w:spacing w:val="2"/>
          <w:sz w:val="28"/>
          <w:szCs w:val="28"/>
          <w:highlight w:val="none"/>
        </w:rPr>
      </w:pPr>
      <w:r>
        <w:rPr>
          <w:rFonts w:hint="eastAsia" w:asciiTheme="minorEastAsia" w:hAnsiTheme="minorEastAsia" w:cstheme="minorEastAsia"/>
          <w:b/>
          <w:bCs/>
          <w:color w:val="000000"/>
          <w:spacing w:val="2"/>
          <w:sz w:val="28"/>
          <w:szCs w:val="28"/>
          <w:highlight w:val="none"/>
        </w:rPr>
        <w:t>（二）关于“三公”经费支出说明</w:t>
      </w:r>
    </w:p>
    <w:p w14:paraId="3C57F50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20</w:t>
      </w:r>
      <w:r>
        <w:rPr>
          <w:rFonts w:hint="eastAsia" w:ascii="宋体" w:hAnsi="宋体"/>
          <w:kern w:val="0"/>
          <w:sz w:val="28"/>
          <w:szCs w:val="28"/>
          <w:highlight w:val="none"/>
          <w:lang w:val="en-US" w:eastAsia="zh-CN"/>
        </w:rPr>
        <w:t>21</w:t>
      </w:r>
      <w:r>
        <w:rPr>
          <w:rFonts w:hint="eastAsia" w:ascii="宋体" w:hAnsi="宋体"/>
          <w:kern w:val="0"/>
          <w:sz w:val="28"/>
          <w:szCs w:val="28"/>
          <w:highlight w:val="none"/>
        </w:rPr>
        <w:t>年“三公”经费</w:t>
      </w:r>
      <w:r>
        <w:rPr>
          <w:rFonts w:hint="eastAsia" w:ascii="宋体" w:hAnsi="宋体"/>
          <w:kern w:val="0"/>
          <w:sz w:val="28"/>
          <w:szCs w:val="28"/>
          <w:highlight w:val="none"/>
          <w:lang w:val="en-US" w:eastAsia="zh-CN"/>
        </w:rPr>
        <w:t>年初预算为6250元，</w:t>
      </w:r>
      <w:r>
        <w:rPr>
          <w:rFonts w:hint="eastAsia" w:ascii="宋体" w:hAnsi="宋体"/>
          <w:kern w:val="0"/>
          <w:sz w:val="28"/>
          <w:szCs w:val="28"/>
          <w:highlight w:val="none"/>
        </w:rPr>
        <w:t>决算总支出0元，其中：</w:t>
      </w:r>
    </w:p>
    <w:p w14:paraId="27EA93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公务车运行维护费0元，年初预算数0元，决算数比预算数减少0元，减少幅度为0</w:t>
      </w:r>
      <w:r>
        <w:rPr>
          <w:rFonts w:hint="eastAsia" w:ascii="宋体" w:hAnsi="宋体"/>
          <w:kern w:val="0"/>
          <w:sz w:val="28"/>
          <w:szCs w:val="28"/>
          <w:highlight w:val="none"/>
          <w:lang w:eastAsia="zh-CN"/>
        </w:rPr>
        <w:t>，</w:t>
      </w:r>
      <w:r>
        <w:rPr>
          <w:rFonts w:hint="eastAsia" w:ascii="宋体" w:hAnsi="宋体"/>
          <w:kern w:val="0"/>
          <w:sz w:val="28"/>
          <w:szCs w:val="28"/>
          <w:highlight w:val="none"/>
          <w:lang w:val="en-US" w:eastAsia="zh-CN"/>
        </w:rPr>
        <w:t>公务车保有量为0，实物量为0</w:t>
      </w:r>
      <w:r>
        <w:rPr>
          <w:rFonts w:hint="eastAsia" w:ascii="宋体" w:hAnsi="宋体"/>
          <w:kern w:val="0"/>
          <w:sz w:val="28"/>
          <w:szCs w:val="28"/>
          <w:highlight w:val="none"/>
        </w:rPr>
        <w:t>；</w:t>
      </w:r>
    </w:p>
    <w:p w14:paraId="71AA712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Theme="minorEastAsia" w:hAnsiTheme="minorEastAsia" w:cstheme="minorEastAsia"/>
          <w:sz w:val="28"/>
          <w:szCs w:val="28"/>
          <w:lang w:val="en-US" w:eastAsia="zh-CN"/>
        </w:rPr>
        <w:t>公务用车购置费0元，年初预算</w:t>
      </w:r>
      <w:r>
        <w:rPr>
          <w:rFonts w:hint="eastAsia" w:asciiTheme="minorEastAsia" w:hAnsiTheme="minorEastAsia" w:eastAsiaTheme="minorEastAsia" w:cstheme="minorEastAsia"/>
          <w:sz w:val="28"/>
          <w:szCs w:val="28"/>
        </w:rPr>
        <w:t>年初预算数0元，决算数比预算数增加0元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与2020年度持平</w:t>
      </w:r>
    </w:p>
    <w:p w14:paraId="39730A5E">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rPr>
        <w:t>公务接待费0元，年初预算数6250元，决算数比预算数增加-6250元，增长幅度为-100%</w:t>
      </w:r>
      <w:r>
        <w:rPr>
          <w:rFonts w:hint="eastAsia" w:ascii="宋体" w:hAnsi="宋体"/>
          <w:kern w:val="0"/>
          <w:sz w:val="28"/>
          <w:szCs w:val="28"/>
          <w:lang w:val="en-US" w:eastAsia="zh-CN"/>
        </w:rPr>
        <w:t>.公务接待批次为0，接待人数为0</w:t>
      </w:r>
      <w:r>
        <w:rPr>
          <w:rFonts w:hint="eastAsia" w:ascii="宋体" w:hAnsi="宋体"/>
          <w:kern w:val="0"/>
          <w:sz w:val="28"/>
          <w:szCs w:val="28"/>
          <w:highlight w:val="none"/>
        </w:rPr>
        <w:t>；</w:t>
      </w:r>
    </w:p>
    <w:p w14:paraId="783B4E27">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因公出国（境）费0元，预算数0元，决算数比预算数增加0元，增长幅度为0%</w:t>
      </w:r>
      <w:r>
        <w:rPr>
          <w:rFonts w:hint="eastAsia" w:ascii="宋体" w:hAnsi="宋体"/>
          <w:kern w:val="0"/>
          <w:sz w:val="28"/>
          <w:szCs w:val="28"/>
          <w:highlight w:val="none"/>
          <w:lang w:eastAsia="zh-CN"/>
        </w:rPr>
        <w:t>，</w:t>
      </w:r>
      <w:r>
        <w:rPr>
          <w:rFonts w:hint="eastAsia" w:ascii="宋体" w:hAnsi="宋体"/>
          <w:kern w:val="0"/>
          <w:sz w:val="28"/>
          <w:szCs w:val="28"/>
          <w:highlight w:val="none"/>
        </w:rPr>
        <w:t>本单位因公出国（境）团组数0、人数0；</w:t>
      </w:r>
    </w:p>
    <w:p w14:paraId="3EA07B9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2020年“三公”经费决算总支出0元，其中：</w:t>
      </w:r>
    </w:p>
    <w:p w14:paraId="7898A6F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highlight w:val="none"/>
        </w:rPr>
        <w:t>公务车运行维护费0元，年初预算数0元，决算数比预算数减少0元，减少幅度为0；</w:t>
      </w:r>
    </w:p>
    <w:p w14:paraId="73D165BC">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kern w:val="0"/>
          <w:sz w:val="28"/>
          <w:szCs w:val="28"/>
          <w:highlight w:val="none"/>
        </w:rPr>
      </w:pPr>
      <w:r>
        <w:rPr>
          <w:rFonts w:hint="eastAsia" w:ascii="宋体" w:hAnsi="宋体"/>
          <w:kern w:val="0"/>
          <w:sz w:val="28"/>
          <w:szCs w:val="28"/>
        </w:rPr>
        <w:t>公务接待费0元，年初预算数6250元，决算数比预算数增加-6250元，增长幅度为-100%</w:t>
      </w:r>
      <w:r>
        <w:rPr>
          <w:rFonts w:hint="eastAsia" w:ascii="宋体" w:hAnsi="宋体"/>
          <w:kern w:val="0"/>
          <w:sz w:val="28"/>
          <w:szCs w:val="28"/>
          <w:highlight w:val="none"/>
        </w:rPr>
        <w:t>；</w:t>
      </w:r>
    </w:p>
    <w:p w14:paraId="7A026B40">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Theme="minorEastAsia"/>
          <w:kern w:val="0"/>
          <w:sz w:val="28"/>
          <w:szCs w:val="28"/>
          <w:highlight w:val="none"/>
          <w:lang w:eastAsia="zh-CN"/>
        </w:rPr>
      </w:pPr>
      <w:r>
        <w:rPr>
          <w:rFonts w:hint="eastAsia" w:ascii="宋体" w:hAnsi="宋体"/>
          <w:kern w:val="0"/>
          <w:sz w:val="28"/>
          <w:szCs w:val="28"/>
          <w:highlight w:val="none"/>
        </w:rPr>
        <w:t>因公出国（境）费0元，预算数0元，决算数比预算数增加0元，增长幅度为0%</w:t>
      </w:r>
      <w:r>
        <w:rPr>
          <w:rFonts w:hint="eastAsia" w:ascii="宋体" w:hAnsi="宋体"/>
          <w:kern w:val="0"/>
          <w:sz w:val="28"/>
          <w:szCs w:val="28"/>
          <w:highlight w:val="none"/>
          <w:lang w:eastAsia="zh-CN"/>
        </w:rPr>
        <w:t>。</w:t>
      </w:r>
    </w:p>
    <w:p w14:paraId="32D66B4F">
      <w:pPr>
        <w:keepNext w:val="0"/>
        <w:keepLines w:val="0"/>
        <w:pageBreakBefore w:val="0"/>
        <w:kinsoku/>
        <w:wordWrap/>
        <w:overflowPunct/>
        <w:topLinePunct w:val="0"/>
        <w:autoSpaceDE/>
        <w:autoSpaceDN/>
        <w:bidi w:val="0"/>
        <w:adjustRightInd/>
        <w:snapToGrid/>
        <w:spacing w:line="520" w:lineRule="exact"/>
        <w:ind w:firstLine="570" w:firstLineChars="200"/>
        <w:textAlignment w:val="auto"/>
        <w:rPr>
          <w:rFonts w:hint="eastAsia"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（三）关于机关运行经费支出说明</w:t>
      </w:r>
    </w:p>
    <w:p w14:paraId="767D2D6D">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default" w:ascii="宋体" w:hAnsi="宋体" w:eastAsiaTheme="minorEastAsia"/>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年机关运行经费支出</w:t>
      </w:r>
      <w:r>
        <w:rPr>
          <w:rFonts w:hint="eastAsia" w:ascii="宋体" w:hAnsi="宋体"/>
          <w:kern w:val="0"/>
          <w:sz w:val="28"/>
          <w:szCs w:val="28"/>
          <w:lang w:val="en-US" w:eastAsia="zh-CN"/>
        </w:rPr>
        <w:t>7945.97万</w:t>
      </w:r>
      <w:r>
        <w:rPr>
          <w:rFonts w:hint="eastAsia" w:ascii="宋体" w:hAnsi="宋体"/>
          <w:kern w:val="0"/>
          <w:sz w:val="28"/>
          <w:szCs w:val="28"/>
        </w:rPr>
        <w:t>元</w:t>
      </w:r>
      <w:r>
        <w:rPr>
          <w:rFonts w:hint="eastAsia" w:ascii="宋体" w:hAnsi="宋体"/>
          <w:kern w:val="0"/>
          <w:sz w:val="28"/>
          <w:szCs w:val="28"/>
          <w:lang w:eastAsia="zh-CN"/>
        </w:rPr>
        <w:t>，</w:t>
      </w:r>
      <w:r>
        <w:rPr>
          <w:rFonts w:hint="eastAsia" w:ascii="宋体" w:hAnsi="宋体"/>
          <w:kern w:val="0"/>
          <w:sz w:val="28"/>
          <w:szCs w:val="28"/>
          <w:lang w:val="en-US" w:eastAsia="zh-CN"/>
        </w:rPr>
        <w:t>较年初预算数18.52万元增加了7927.45万元，同比增长了42805%，主要原因是委托业务费（老旧小区改造项目经费）未列入年初预算之中。</w:t>
      </w:r>
      <w:r>
        <w:rPr>
          <w:rFonts w:hint="eastAsia" w:ascii="宋体" w:hAnsi="宋体"/>
          <w:kern w:val="0"/>
          <w:sz w:val="28"/>
          <w:szCs w:val="28"/>
        </w:rPr>
        <w:t>20</w:t>
      </w:r>
      <w:r>
        <w:rPr>
          <w:rFonts w:hint="eastAsia" w:ascii="宋体" w:hAnsi="宋体"/>
          <w:kern w:val="0"/>
          <w:sz w:val="28"/>
          <w:szCs w:val="28"/>
          <w:lang w:val="en-US" w:eastAsia="zh-CN"/>
        </w:rPr>
        <w:t>20</w:t>
      </w:r>
      <w:r>
        <w:rPr>
          <w:rFonts w:hint="eastAsia" w:ascii="宋体" w:hAnsi="宋体"/>
          <w:kern w:val="0"/>
          <w:sz w:val="28"/>
          <w:szCs w:val="28"/>
        </w:rPr>
        <w:t>年机关运行经费支出</w:t>
      </w:r>
      <w:r>
        <w:rPr>
          <w:rFonts w:hint="eastAsia" w:ascii="宋体" w:hAnsi="宋体"/>
          <w:kern w:val="0"/>
          <w:sz w:val="28"/>
          <w:szCs w:val="28"/>
          <w:lang w:val="en-US" w:eastAsia="zh-CN"/>
        </w:rPr>
        <w:t>3687.68万</w:t>
      </w:r>
      <w:r>
        <w:rPr>
          <w:rFonts w:hint="eastAsia" w:ascii="宋体" w:hAnsi="宋体"/>
          <w:kern w:val="0"/>
          <w:sz w:val="28"/>
          <w:szCs w:val="28"/>
        </w:rPr>
        <w:t>元, 202</w:t>
      </w:r>
      <w:r>
        <w:rPr>
          <w:rFonts w:hint="eastAsia" w:ascii="宋体" w:hAnsi="宋体"/>
          <w:kern w:val="0"/>
          <w:sz w:val="28"/>
          <w:szCs w:val="28"/>
          <w:lang w:val="en-US" w:eastAsia="zh-CN"/>
        </w:rPr>
        <w:t>1</w:t>
      </w:r>
      <w:r>
        <w:rPr>
          <w:rFonts w:hint="eastAsia" w:ascii="宋体" w:hAnsi="宋体"/>
          <w:kern w:val="0"/>
          <w:sz w:val="28"/>
          <w:szCs w:val="28"/>
        </w:rPr>
        <w:t>年机关运行经费支出</w:t>
      </w:r>
      <w:r>
        <w:rPr>
          <w:rFonts w:hint="eastAsia" w:ascii="宋体" w:hAnsi="宋体"/>
          <w:kern w:val="0"/>
          <w:sz w:val="28"/>
          <w:szCs w:val="28"/>
          <w:lang w:val="en-US" w:eastAsia="zh-CN"/>
        </w:rPr>
        <w:t>7945.97万</w:t>
      </w:r>
      <w:r>
        <w:rPr>
          <w:rFonts w:hint="eastAsia" w:ascii="宋体" w:hAnsi="宋体"/>
          <w:kern w:val="0"/>
          <w:sz w:val="28"/>
          <w:szCs w:val="28"/>
        </w:rPr>
        <w:t>元,同比上年增加</w:t>
      </w:r>
      <w:r>
        <w:rPr>
          <w:rFonts w:hint="eastAsia" w:ascii="宋体" w:hAnsi="宋体"/>
          <w:kern w:val="0"/>
          <w:sz w:val="28"/>
          <w:szCs w:val="28"/>
          <w:lang w:val="en-US" w:eastAsia="zh-CN"/>
        </w:rPr>
        <w:t>4258.29</w:t>
      </w:r>
      <w:r>
        <w:rPr>
          <w:rFonts w:hint="eastAsia" w:ascii="宋体" w:hAnsi="宋体"/>
          <w:kern w:val="0"/>
          <w:sz w:val="28"/>
          <w:szCs w:val="28"/>
        </w:rPr>
        <w:t>元，同比上年增加</w:t>
      </w:r>
      <w:r>
        <w:rPr>
          <w:rFonts w:hint="eastAsia" w:ascii="宋体" w:hAnsi="宋体"/>
          <w:kern w:val="0"/>
          <w:sz w:val="28"/>
          <w:szCs w:val="28"/>
          <w:lang w:val="en-US" w:eastAsia="zh-CN"/>
        </w:rPr>
        <w:t>115.47</w:t>
      </w:r>
      <w:r>
        <w:rPr>
          <w:rFonts w:hint="eastAsia" w:ascii="宋体" w:hAnsi="宋体"/>
          <w:kern w:val="0"/>
          <w:sz w:val="28"/>
          <w:szCs w:val="28"/>
        </w:rPr>
        <w:t>%</w:t>
      </w:r>
      <w:r>
        <w:rPr>
          <w:rFonts w:hint="eastAsia" w:ascii="宋体" w:hAnsi="宋体"/>
          <w:kern w:val="0"/>
          <w:sz w:val="28"/>
          <w:szCs w:val="28"/>
          <w:lang w:eastAsia="zh-CN"/>
        </w:rPr>
        <w:t>，</w:t>
      </w:r>
      <w:r>
        <w:rPr>
          <w:rFonts w:hint="eastAsia" w:ascii="宋体" w:hAnsi="宋体"/>
          <w:kern w:val="0"/>
          <w:sz w:val="28"/>
          <w:szCs w:val="28"/>
          <w:lang w:val="en-US" w:eastAsia="zh-CN"/>
        </w:rPr>
        <w:t>原因是业务量增加。</w:t>
      </w:r>
    </w:p>
    <w:p w14:paraId="6DED6712">
      <w:pPr>
        <w:keepNext w:val="0"/>
        <w:keepLines w:val="0"/>
        <w:pageBreakBefore w:val="0"/>
        <w:widowControl/>
        <w:kinsoku/>
        <w:wordWrap/>
        <w:overflowPunct/>
        <w:topLinePunct w:val="0"/>
        <w:autoSpaceDE/>
        <w:autoSpaceDN/>
        <w:bidi w:val="0"/>
        <w:adjustRightInd/>
        <w:snapToGrid/>
        <w:spacing w:line="520" w:lineRule="exact"/>
        <w:ind w:firstLine="559" w:firstLineChars="196"/>
        <w:textAlignment w:val="auto"/>
        <w:rPr>
          <w:rFonts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（四）关于政府采购支出说明</w:t>
      </w:r>
    </w:p>
    <w:p w14:paraId="50DDEBC5">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宋体" w:hAnsi="宋体" w:eastAsiaTheme="minorEastAsia"/>
          <w:kern w:val="0"/>
          <w:sz w:val="28"/>
          <w:szCs w:val="28"/>
          <w:lang w:val="en-US" w:eastAsia="zh-CN"/>
        </w:rPr>
      </w:pPr>
      <w:r>
        <w:rPr>
          <w:rFonts w:hint="eastAsia" w:ascii="宋体" w:hAnsi="宋体"/>
          <w:kern w:val="0"/>
          <w:sz w:val="28"/>
          <w:szCs w:val="28"/>
        </w:rPr>
        <w:t>202</w:t>
      </w:r>
      <w:r>
        <w:rPr>
          <w:rFonts w:hint="eastAsia" w:ascii="宋体" w:hAnsi="宋体"/>
          <w:kern w:val="0"/>
          <w:sz w:val="28"/>
          <w:szCs w:val="28"/>
          <w:lang w:val="en-US" w:eastAsia="zh-CN"/>
        </w:rPr>
        <w:t>1</w:t>
      </w:r>
      <w:r>
        <w:rPr>
          <w:rFonts w:hint="eastAsia" w:ascii="宋体" w:hAnsi="宋体"/>
          <w:kern w:val="0"/>
          <w:sz w:val="28"/>
          <w:szCs w:val="28"/>
        </w:rPr>
        <w:t>年政府采购总支出</w:t>
      </w:r>
      <w:r>
        <w:rPr>
          <w:rFonts w:hint="eastAsia" w:ascii="宋体" w:hAnsi="宋体"/>
          <w:kern w:val="0"/>
          <w:sz w:val="28"/>
          <w:szCs w:val="28"/>
          <w:lang w:val="en-US" w:eastAsia="zh-CN"/>
        </w:rPr>
        <w:t>16131.09万</w:t>
      </w:r>
      <w:r>
        <w:rPr>
          <w:rFonts w:hint="eastAsia" w:ascii="宋体" w:hAnsi="宋体"/>
          <w:kern w:val="0"/>
          <w:sz w:val="28"/>
          <w:szCs w:val="28"/>
        </w:rPr>
        <w:t>元，其中政府采购货物支出</w:t>
      </w:r>
      <w:r>
        <w:rPr>
          <w:rFonts w:hint="eastAsia" w:ascii="宋体" w:hAnsi="宋体"/>
          <w:kern w:val="0"/>
          <w:sz w:val="28"/>
          <w:szCs w:val="28"/>
          <w:lang w:val="en-US" w:eastAsia="zh-CN"/>
        </w:rPr>
        <w:t>1148.4万</w:t>
      </w:r>
      <w:r>
        <w:rPr>
          <w:rFonts w:hint="eastAsia" w:ascii="宋体" w:hAnsi="宋体"/>
          <w:kern w:val="0"/>
          <w:sz w:val="28"/>
          <w:szCs w:val="28"/>
        </w:rPr>
        <w:t>元，政府采购工程支出</w:t>
      </w:r>
      <w:r>
        <w:rPr>
          <w:rFonts w:hint="eastAsia" w:ascii="宋体" w:hAnsi="宋体"/>
          <w:kern w:val="0"/>
          <w:sz w:val="28"/>
          <w:szCs w:val="28"/>
          <w:lang w:val="en-US" w:eastAsia="zh-CN"/>
        </w:rPr>
        <w:t>14666.69万</w:t>
      </w:r>
      <w:r>
        <w:rPr>
          <w:rFonts w:hint="eastAsia" w:ascii="宋体" w:hAnsi="宋体"/>
          <w:kern w:val="0"/>
          <w:sz w:val="28"/>
          <w:szCs w:val="28"/>
        </w:rPr>
        <w:t>元，政府采购服务支出</w:t>
      </w:r>
      <w:r>
        <w:rPr>
          <w:rFonts w:hint="eastAsia" w:ascii="宋体" w:hAnsi="宋体"/>
          <w:kern w:val="0"/>
          <w:sz w:val="28"/>
          <w:szCs w:val="28"/>
          <w:lang w:val="en-US" w:eastAsia="zh-CN"/>
        </w:rPr>
        <w:t>316万</w:t>
      </w:r>
      <w:r>
        <w:rPr>
          <w:rFonts w:hint="eastAsia" w:ascii="宋体" w:hAnsi="宋体"/>
          <w:kern w:val="0"/>
          <w:sz w:val="28"/>
          <w:szCs w:val="28"/>
        </w:rPr>
        <w:t>元。授予中小企业合同金额</w:t>
      </w:r>
      <w:r>
        <w:rPr>
          <w:rFonts w:hint="eastAsia" w:ascii="宋体" w:hAnsi="宋体"/>
          <w:kern w:val="0"/>
          <w:sz w:val="28"/>
          <w:szCs w:val="28"/>
          <w:lang w:val="en-US" w:eastAsia="zh-CN"/>
        </w:rPr>
        <w:t>16131.09</w:t>
      </w:r>
      <w:r>
        <w:rPr>
          <w:rFonts w:hint="eastAsia" w:ascii="宋体" w:hAnsi="宋体"/>
          <w:kern w:val="0"/>
          <w:sz w:val="28"/>
          <w:szCs w:val="28"/>
        </w:rPr>
        <w:t>万元，占政府采购支出总额的</w:t>
      </w:r>
      <w:r>
        <w:rPr>
          <w:rFonts w:hint="eastAsia" w:ascii="宋体" w:hAnsi="宋体"/>
          <w:kern w:val="0"/>
          <w:sz w:val="28"/>
          <w:szCs w:val="28"/>
          <w:lang w:val="en-US" w:eastAsia="zh-CN"/>
        </w:rPr>
        <w:t>10</w:t>
      </w:r>
      <w:r>
        <w:rPr>
          <w:rFonts w:hint="eastAsia" w:ascii="宋体" w:hAnsi="宋体"/>
          <w:kern w:val="0"/>
          <w:sz w:val="28"/>
          <w:szCs w:val="28"/>
        </w:rPr>
        <w:t>0%，其中：授予小微企业合同金额0万元，占政府采购支出总额的0%。</w:t>
      </w:r>
    </w:p>
    <w:p w14:paraId="0358F64E">
      <w:pPr>
        <w:keepNext w:val="0"/>
        <w:keepLines w:val="0"/>
        <w:pageBreakBefore w:val="0"/>
        <w:widowControl/>
        <w:numPr>
          <w:ilvl w:val="0"/>
          <w:numId w:val="3"/>
        </w:numPr>
        <w:kinsoku/>
        <w:wordWrap/>
        <w:overflowPunct/>
        <w:topLinePunct w:val="0"/>
        <w:autoSpaceDE/>
        <w:autoSpaceDN/>
        <w:bidi w:val="0"/>
        <w:adjustRightInd/>
        <w:snapToGrid/>
        <w:spacing w:line="520" w:lineRule="exact"/>
        <w:ind w:firstLine="559" w:firstLineChars="196"/>
        <w:textAlignment w:val="auto"/>
        <w:rPr>
          <w:rFonts w:hint="eastAsia" w:asciiTheme="minorEastAsia" w:hAnsiTheme="minorEastAsia" w:cstheme="minorEastAsia"/>
          <w:b/>
          <w:bCs/>
          <w:color w:val="000000"/>
          <w:spacing w:val="2"/>
          <w:sz w:val="28"/>
          <w:szCs w:val="28"/>
        </w:rPr>
      </w:pPr>
      <w:r>
        <w:rPr>
          <w:rFonts w:hint="eastAsia" w:asciiTheme="minorEastAsia" w:hAnsiTheme="minorEastAsia" w:cstheme="minorEastAsia"/>
          <w:b/>
          <w:bCs/>
          <w:color w:val="000000"/>
          <w:spacing w:val="2"/>
          <w:sz w:val="28"/>
          <w:szCs w:val="28"/>
        </w:rPr>
        <w:t>关于国有资产占用情况说明</w:t>
      </w:r>
    </w:p>
    <w:p w14:paraId="6A78F6D7">
      <w:pPr>
        <w:pStyle w:val="8"/>
        <w:widowControl/>
        <w:spacing w:before="76" w:beforeAutospacing="0" w:after="76" w:afterAutospacing="0" w:line="450" w:lineRule="atLeast"/>
        <w:ind w:firstLine="560" w:firstLineChars="200"/>
        <w:rPr>
          <w:rFonts w:asciiTheme="minorEastAsia" w:hAnsiTheme="minorEastAsia" w:cstheme="minorEastAsia"/>
          <w:sz w:val="28"/>
          <w:szCs w:val="28"/>
        </w:rPr>
      </w:pPr>
      <w:r>
        <w:rPr>
          <w:rFonts w:hint="eastAsia" w:asciiTheme="minorEastAsia" w:hAnsiTheme="minorEastAsia" w:cstheme="minorEastAsia"/>
          <w:kern w:val="2"/>
          <w:sz w:val="28"/>
          <w:szCs w:val="28"/>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p>
    <w:p w14:paraId="27BD3F56">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（六）重点绩效评价结果等预算绩效情况说明</w:t>
      </w:r>
    </w:p>
    <w:p w14:paraId="62A0B803">
      <w:pPr>
        <w:pStyle w:val="12"/>
        <w:spacing w:line="540" w:lineRule="exact"/>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cstheme="minorEastAsia"/>
          <w:kern w:val="0"/>
          <w:sz w:val="28"/>
          <w:szCs w:val="28"/>
          <w:highlight w:val="none"/>
          <w:lang w:val="en-US" w:eastAsia="zh-CN" w:bidi="ar"/>
        </w:rPr>
        <w:t>2021</w:t>
      </w:r>
      <w:r>
        <w:rPr>
          <w:rFonts w:hint="eastAsia" w:asciiTheme="minorEastAsia" w:hAnsiTheme="minorEastAsia" w:eastAsiaTheme="minorEastAsia" w:cstheme="minorEastAsia"/>
          <w:kern w:val="0"/>
          <w:sz w:val="28"/>
          <w:szCs w:val="28"/>
          <w:highlight w:val="none"/>
          <w:lang w:val="en-US" w:eastAsia="zh-CN" w:bidi="ar"/>
        </w:rPr>
        <w:t>年， 根据预算绩效管理要求，我单位组织</w:t>
      </w:r>
      <w:r>
        <w:rPr>
          <w:rFonts w:hint="eastAsia" w:asciiTheme="minorEastAsia" w:hAnsiTheme="minorEastAsia" w:cstheme="minorEastAsia"/>
          <w:kern w:val="0"/>
          <w:sz w:val="28"/>
          <w:szCs w:val="28"/>
          <w:highlight w:val="none"/>
          <w:lang w:val="en-US" w:eastAsia="zh-CN" w:bidi="ar"/>
        </w:rPr>
        <w:t>2021</w:t>
      </w:r>
      <w:r>
        <w:rPr>
          <w:rFonts w:hint="eastAsia" w:asciiTheme="minorEastAsia" w:hAnsiTheme="minorEastAsia" w:eastAsiaTheme="minorEastAsia" w:cstheme="minorEastAsia"/>
          <w:kern w:val="0"/>
          <w:sz w:val="28"/>
          <w:szCs w:val="28"/>
          <w:highlight w:val="none"/>
          <w:lang w:val="en-US" w:eastAsia="zh-CN" w:bidi="ar"/>
        </w:rPr>
        <w:t>年度</w:t>
      </w:r>
      <w:r>
        <w:rPr>
          <w:rFonts w:hint="eastAsia" w:asciiTheme="minorEastAsia" w:hAnsiTheme="minorEastAsia" w:cstheme="minorEastAsia"/>
          <w:kern w:val="0"/>
          <w:sz w:val="28"/>
          <w:szCs w:val="28"/>
          <w:highlight w:val="none"/>
          <w:lang w:val="en-US" w:eastAsia="zh-CN" w:bidi="ar"/>
        </w:rPr>
        <w:t>中央财政城镇保障性安居工程补助资金</w:t>
      </w:r>
      <w:r>
        <w:rPr>
          <w:rFonts w:hint="eastAsia" w:asciiTheme="minorEastAsia" w:hAnsiTheme="minorEastAsia" w:eastAsiaTheme="minorEastAsia" w:cstheme="minorEastAsia"/>
          <w:kern w:val="0"/>
          <w:sz w:val="28"/>
          <w:szCs w:val="28"/>
          <w:highlight w:val="none"/>
          <w:lang w:val="en-US" w:eastAsia="zh-CN" w:bidi="ar"/>
        </w:rPr>
        <w:t>开展绩效自评，共涉及项目</w:t>
      </w:r>
      <w:r>
        <w:rPr>
          <w:rFonts w:hint="eastAsia" w:asciiTheme="minorEastAsia" w:hAnsiTheme="minorEastAsia" w:cstheme="minorEastAsia"/>
          <w:kern w:val="0"/>
          <w:sz w:val="28"/>
          <w:szCs w:val="28"/>
          <w:highlight w:val="none"/>
          <w:lang w:val="en-US" w:eastAsia="zh-CN" w:bidi="ar"/>
        </w:rPr>
        <w:t>4</w:t>
      </w:r>
      <w:r>
        <w:rPr>
          <w:rFonts w:hint="eastAsia" w:asciiTheme="minorEastAsia" w:hAnsiTheme="minorEastAsia" w:eastAsiaTheme="minorEastAsia" w:cstheme="minorEastAsia"/>
          <w:kern w:val="0"/>
          <w:sz w:val="28"/>
          <w:szCs w:val="28"/>
          <w:highlight w:val="none"/>
          <w:lang w:val="en-US" w:eastAsia="zh-CN" w:bidi="ar"/>
        </w:rPr>
        <w:t>个</w:t>
      </w:r>
      <w:r>
        <w:rPr>
          <w:rFonts w:hint="eastAsia" w:asciiTheme="minorEastAsia" w:hAnsiTheme="minorEastAsia" w:cstheme="minorEastAsia"/>
          <w:kern w:val="0"/>
          <w:sz w:val="28"/>
          <w:szCs w:val="28"/>
          <w:highlight w:val="none"/>
          <w:lang w:val="en-US" w:eastAsia="zh-CN" w:bidi="ar"/>
        </w:rPr>
        <w:t>6个小区</w:t>
      </w:r>
      <w:r>
        <w:rPr>
          <w:rFonts w:hint="eastAsia" w:asciiTheme="minorEastAsia" w:hAnsiTheme="minorEastAsia" w:eastAsiaTheme="minorEastAsia" w:cstheme="minorEastAsia"/>
          <w:kern w:val="0"/>
          <w:sz w:val="28"/>
          <w:szCs w:val="28"/>
          <w:highlight w:val="none"/>
          <w:lang w:val="en-US" w:eastAsia="zh-CN" w:bidi="ar"/>
        </w:rPr>
        <w:t>，资金</w:t>
      </w:r>
      <w:r>
        <w:rPr>
          <w:rFonts w:hint="eastAsia" w:asciiTheme="minorEastAsia" w:hAnsiTheme="minorEastAsia" w:cstheme="minorEastAsia"/>
          <w:kern w:val="0"/>
          <w:sz w:val="28"/>
          <w:szCs w:val="28"/>
          <w:highlight w:val="none"/>
          <w:lang w:val="en-US" w:eastAsia="zh-CN" w:bidi="ar"/>
        </w:rPr>
        <w:t>2868</w:t>
      </w:r>
      <w:r>
        <w:rPr>
          <w:rFonts w:hint="eastAsia" w:asciiTheme="minorEastAsia" w:hAnsiTheme="minorEastAsia" w:eastAsiaTheme="minorEastAsia" w:cstheme="minorEastAsia"/>
          <w:kern w:val="0"/>
          <w:sz w:val="28"/>
          <w:szCs w:val="28"/>
          <w:highlight w:val="none"/>
          <w:lang w:val="en-US" w:eastAsia="zh-CN" w:bidi="ar"/>
        </w:rPr>
        <w:t>万元。</w:t>
      </w:r>
      <w:r>
        <w:rPr>
          <w:rFonts w:hint="eastAsia" w:asciiTheme="minorEastAsia" w:hAnsiTheme="minorEastAsia" w:cstheme="minorEastAsia"/>
          <w:kern w:val="0"/>
          <w:sz w:val="28"/>
          <w:szCs w:val="28"/>
          <w:highlight w:val="none"/>
          <w:lang w:val="en-US" w:eastAsia="zh-CN" w:bidi="ar"/>
        </w:rPr>
        <w:t>2021</w:t>
      </w:r>
      <w:r>
        <w:rPr>
          <w:rFonts w:hint="eastAsia" w:asciiTheme="minorEastAsia" w:hAnsiTheme="minorEastAsia" w:eastAsiaTheme="minorEastAsia" w:cstheme="minorEastAsia"/>
          <w:kern w:val="0"/>
          <w:sz w:val="28"/>
          <w:szCs w:val="28"/>
          <w:highlight w:val="none"/>
          <w:lang w:val="en-US" w:eastAsia="zh-CN" w:bidi="ar"/>
        </w:rPr>
        <w:t>年项目资金投入</w:t>
      </w:r>
      <w:r>
        <w:rPr>
          <w:rFonts w:hint="eastAsia" w:asciiTheme="minorEastAsia" w:hAnsiTheme="minorEastAsia" w:cstheme="minorEastAsia"/>
          <w:kern w:val="0"/>
          <w:sz w:val="28"/>
          <w:szCs w:val="28"/>
          <w:highlight w:val="none"/>
          <w:lang w:val="en-US" w:eastAsia="zh-CN" w:bidi="ar"/>
        </w:rPr>
        <w:t>2868</w:t>
      </w:r>
      <w:r>
        <w:rPr>
          <w:rFonts w:hint="eastAsia" w:asciiTheme="minorEastAsia" w:hAnsiTheme="minorEastAsia" w:eastAsiaTheme="minorEastAsia" w:cstheme="minorEastAsia"/>
          <w:kern w:val="0"/>
          <w:sz w:val="28"/>
          <w:szCs w:val="28"/>
          <w:highlight w:val="none"/>
          <w:lang w:val="en-US" w:eastAsia="zh-CN" w:bidi="ar"/>
        </w:rPr>
        <w:t>万元，已使用</w:t>
      </w:r>
      <w:r>
        <w:rPr>
          <w:rFonts w:hint="eastAsia" w:asciiTheme="minorEastAsia" w:hAnsiTheme="minorEastAsia" w:cstheme="minorEastAsia"/>
          <w:kern w:val="0"/>
          <w:sz w:val="28"/>
          <w:szCs w:val="28"/>
          <w:highlight w:val="none"/>
          <w:lang w:val="en-US" w:eastAsia="zh-CN" w:bidi="ar"/>
        </w:rPr>
        <w:t>2868</w:t>
      </w:r>
      <w:r>
        <w:rPr>
          <w:rFonts w:hint="eastAsia" w:asciiTheme="minorEastAsia" w:hAnsiTheme="minorEastAsia" w:eastAsiaTheme="minorEastAsia" w:cstheme="minorEastAsia"/>
          <w:kern w:val="0"/>
          <w:sz w:val="28"/>
          <w:szCs w:val="28"/>
          <w:highlight w:val="none"/>
          <w:lang w:val="en-US" w:eastAsia="zh-CN" w:bidi="ar"/>
        </w:rPr>
        <w:t>万元</w:t>
      </w:r>
      <w:r>
        <w:rPr>
          <w:rFonts w:hint="eastAsia" w:asciiTheme="minorEastAsia" w:hAnsiTheme="minorEastAsia" w:cstheme="minorEastAsia"/>
          <w:kern w:val="0"/>
          <w:sz w:val="28"/>
          <w:szCs w:val="28"/>
          <w:highlight w:val="none"/>
          <w:lang w:val="en-US" w:eastAsia="zh-CN" w:bidi="ar"/>
        </w:rPr>
        <w:t>，使用率达100%。</w:t>
      </w:r>
      <w:r>
        <w:rPr>
          <w:rFonts w:hint="eastAsia" w:asciiTheme="minorEastAsia" w:hAnsiTheme="minorEastAsia" w:eastAsiaTheme="minorEastAsia" w:cstheme="minorEastAsia"/>
          <w:kern w:val="0"/>
          <w:sz w:val="28"/>
          <w:szCs w:val="28"/>
          <w:highlight w:val="none"/>
          <w:lang w:val="en-US" w:eastAsia="zh-CN" w:bidi="ar"/>
        </w:rPr>
        <w:t>使用从评价结果看，项目立项程序完整、规范，预算执行及时、有效，绩效目标得到较好实现，绩效管理水平不断提高，绩效指标体系建设逐渐丰富和完善。</w:t>
      </w:r>
    </w:p>
    <w:tbl>
      <w:tblPr>
        <w:tblStyle w:val="9"/>
        <w:tblW w:w="12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1072"/>
        <w:gridCol w:w="1003"/>
        <w:gridCol w:w="792"/>
        <w:gridCol w:w="3153"/>
        <w:gridCol w:w="1792"/>
        <w:gridCol w:w="1710"/>
        <w:gridCol w:w="1590"/>
        <w:gridCol w:w="1087"/>
      </w:tblGrid>
      <w:tr w14:paraId="5583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75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E04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20A5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44F9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59C5E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C74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黄石市黄石港区建设局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2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92B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2022.01.13</w:t>
            </w:r>
          </w:p>
          <w:p w14:paraId="7DEF8250">
            <w:pPr>
              <w:jc w:val="center"/>
              <w:rPr>
                <w:rFonts w:hint="default" w:ascii="宋体" w:hAnsi="宋体" w:eastAsia="宋体" w:cs="宋体"/>
                <w:i w:val="0"/>
                <w:iCs w:val="0"/>
                <w:color w:val="000000"/>
                <w:sz w:val="22"/>
                <w:szCs w:val="22"/>
                <w:u w:val="none"/>
                <w:lang w:val="en-US" w:eastAsia="zh-CN"/>
              </w:rPr>
            </w:pPr>
          </w:p>
        </w:tc>
      </w:tr>
      <w:tr w14:paraId="303B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0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49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CB0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黄石市黄石港区建设局</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3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2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3CA0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2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B2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648FA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F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4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4330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2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CD0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D5B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8430</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93F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121</w:t>
            </w:r>
          </w:p>
        </w:tc>
        <w:tc>
          <w:tcPr>
            <w:tcW w:w="4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7E9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69.66</w:t>
            </w:r>
          </w:p>
        </w:tc>
      </w:tr>
      <w:tr w14:paraId="57E9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23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6D576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D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504DE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2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77E1E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3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E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5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2B53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E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4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7E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4D1FB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D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6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293C9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5F50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5A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44ECA7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1BE341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13B0F3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4B8D1D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47EB91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1E5A9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8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D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2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3AC9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B467">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BCC37">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E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4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1E16D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576FE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D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7F42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F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E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648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469B3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E7BF">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BAF99">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9A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5C26A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7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57F9D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3448D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460DB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0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2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9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169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9371">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873A2">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0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6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2B580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2F9580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69DF4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E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D1F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BC8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14:paraId="233F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22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B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58553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7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B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2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A8B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57F">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ED1ED">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1C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607BE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2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4E8F5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0AE9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15F4D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B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B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9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984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0D79">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ADDC1">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7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30F74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8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3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78256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763B9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3EBCB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76456A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24891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A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7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0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6F7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7B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B9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B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9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E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3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0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7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51F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21E7">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80CF4">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3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1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E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0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E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94F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7A52">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B304">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2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7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0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F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2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4B8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45F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54B3">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E200">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F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C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4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6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F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4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D49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7847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11F6">
            <w:pPr>
              <w:jc w:val="center"/>
              <w:rPr>
                <w:rFonts w:hint="eastAsia" w:ascii="宋体" w:hAnsi="宋体" w:eastAsia="宋体" w:cs="宋体"/>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0B41">
            <w:pPr>
              <w:jc w:val="center"/>
              <w:rPr>
                <w:rFonts w:hint="eastAsia" w:ascii="宋体" w:hAnsi="宋体" w:eastAsia="宋体" w:cs="宋体"/>
                <w:i w:val="0"/>
                <w:iCs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4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0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F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7B3F2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67A9F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F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8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043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6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3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2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E27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90</w:t>
            </w:r>
          </w:p>
        </w:tc>
      </w:tr>
    </w:tbl>
    <w:p w14:paraId="341F43AC">
      <w:pPr>
        <w:pStyle w:val="12"/>
        <w:spacing w:line="540" w:lineRule="exact"/>
        <w:rPr>
          <w:rFonts w:hint="eastAsia" w:asciiTheme="minorEastAsia" w:hAnsiTheme="minorEastAsia" w:eastAsiaTheme="minorEastAsia" w:cstheme="minorEastAsia"/>
          <w:kern w:val="0"/>
          <w:sz w:val="28"/>
          <w:szCs w:val="28"/>
          <w:highlight w:val="none"/>
          <w:lang w:val="en-US" w:eastAsia="zh-CN" w:bidi="ar"/>
        </w:rPr>
      </w:pPr>
    </w:p>
    <w:p w14:paraId="53A67842">
      <w:pPr>
        <w:pStyle w:val="12"/>
        <w:spacing w:line="540" w:lineRule="exact"/>
        <w:rPr>
          <w:rFonts w:hint="eastAsia" w:asciiTheme="minorEastAsia" w:hAnsiTheme="minorEastAsia" w:eastAsiaTheme="minorEastAsia" w:cstheme="minorEastAsia"/>
          <w:kern w:val="0"/>
          <w:sz w:val="28"/>
          <w:szCs w:val="28"/>
          <w:highlight w:val="none"/>
          <w:lang w:val="en-US" w:eastAsia="zh-CN" w:bidi="ar"/>
        </w:rPr>
      </w:pPr>
    </w:p>
    <w:p w14:paraId="662CAC6C">
      <w:pPr>
        <w:spacing w:line="440" w:lineRule="exact"/>
        <w:ind w:firstLine="570" w:firstLineChars="200"/>
        <w:rPr>
          <w:rFonts w:hint="eastAsia" w:ascii="宋体" w:hAnsi="宋体"/>
          <w:b/>
          <w:color w:val="FF6600"/>
          <w:spacing w:val="2"/>
          <w:sz w:val="28"/>
          <w:szCs w:val="28"/>
        </w:rPr>
      </w:pP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23C9B6F7">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576D9C56">
      <w:pPr>
        <w:widowControl/>
        <w:ind w:firstLine="568" w:firstLineChars="200"/>
        <w:rPr>
          <w:rFonts w:hint="eastAsia" w:ascii="宋体" w:hAnsi="宋体"/>
          <w:spacing w:val="2"/>
          <w:sz w:val="28"/>
          <w:szCs w:val="28"/>
        </w:rPr>
      </w:pPr>
      <w:r>
        <w:rPr>
          <w:rFonts w:hint="eastAsia" w:ascii="宋体" w:hAnsi="宋体"/>
          <w:spacing w:val="2"/>
          <w:sz w:val="28"/>
          <w:szCs w:val="28"/>
        </w:rPr>
        <w:t>20</w:t>
      </w:r>
      <w:r>
        <w:rPr>
          <w:rFonts w:hint="eastAsia" w:ascii="宋体" w:hAnsi="宋体"/>
          <w:spacing w:val="2"/>
          <w:sz w:val="28"/>
          <w:szCs w:val="28"/>
          <w:lang w:val="en-US" w:eastAsia="zh-CN"/>
        </w:rPr>
        <w:t>20</w:t>
      </w:r>
      <w:r>
        <w:rPr>
          <w:rFonts w:hint="eastAsia" w:ascii="宋体" w:hAnsi="宋体"/>
          <w:spacing w:val="2"/>
          <w:sz w:val="28"/>
          <w:szCs w:val="28"/>
        </w:rPr>
        <w:t>年全年总收入</w:t>
      </w:r>
      <w:r>
        <w:rPr>
          <w:rFonts w:hint="eastAsia" w:ascii="宋体" w:hAnsi="宋体"/>
          <w:kern w:val="0"/>
          <w:sz w:val="28"/>
          <w:szCs w:val="28"/>
        </w:rPr>
        <w:t>6040.57</w:t>
      </w:r>
      <w:r>
        <w:rPr>
          <w:rFonts w:hint="eastAsia" w:ascii="宋体" w:hAnsi="宋体"/>
          <w:kern w:val="0"/>
          <w:sz w:val="28"/>
          <w:szCs w:val="28"/>
          <w:lang w:val="en-US" w:eastAsia="zh-CN"/>
        </w:rPr>
        <w:t>万</w:t>
      </w:r>
      <w:r>
        <w:rPr>
          <w:rFonts w:hint="eastAsia" w:ascii="宋体" w:hAnsi="宋体"/>
          <w:kern w:val="0"/>
          <w:sz w:val="28"/>
          <w:szCs w:val="28"/>
        </w:rPr>
        <w:t>元</w:t>
      </w:r>
      <w:r>
        <w:rPr>
          <w:rFonts w:hint="eastAsia" w:ascii="宋体" w:hAnsi="宋体"/>
          <w:spacing w:val="2"/>
          <w:sz w:val="28"/>
          <w:szCs w:val="28"/>
        </w:rPr>
        <w:t>,202</w:t>
      </w:r>
      <w:r>
        <w:rPr>
          <w:rFonts w:hint="eastAsia" w:ascii="宋体" w:hAnsi="宋体"/>
          <w:spacing w:val="2"/>
          <w:sz w:val="28"/>
          <w:szCs w:val="28"/>
          <w:lang w:val="en-US" w:eastAsia="zh-CN"/>
        </w:rPr>
        <w:t>1</w:t>
      </w:r>
      <w:r>
        <w:rPr>
          <w:rFonts w:hint="eastAsia" w:ascii="宋体" w:hAnsi="宋体"/>
          <w:spacing w:val="2"/>
          <w:sz w:val="28"/>
          <w:szCs w:val="28"/>
        </w:rPr>
        <w:t>年全年总收入</w:t>
      </w:r>
      <w:r>
        <w:rPr>
          <w:rFonts w:hint="eastAsia" w:ascii="宋体" w:hAnsi="宋体"/>
          <w:kern w:val="0"/>
          <w:sz w:val="28"/>
          <w:szCs w:val="28"/>
          <w:lang w:val="en-US" w:eastAsia="zh-CN"/>
        </w:rPr>
        <w:t>18042.74</w:t>
      </w:r>
      <w:r>
        <w:rPr>
          <w:rFonts w:hint="eastAsia" w:ascii="宋体" w:hAnsi="宋体"/>
          <w:spacing w:val="2"/>
          <w:sz w:val="28"/>
          <w:szCs w:val="28"/>
          <w:lang w:val="en-US" w:eastAsia="zh-CN"/>
        </w:rPr>
        <w:t>万</w:t>
      </w:r>
      <w:r>
        <w:rPr>
          <w:rFonts w:hint="eastAsia" w:ascii="宋体" w:hAnsi="宋体"/>
          <w:spacing w:val="2"/>
          <w:sz w:val="28"/>
          <w:szCs w:val="28"/>
        </w:rPr>
        <w:t>元，同比上年增加</w:t>
      </w:r>
      <w:r>
        <w:rPr>
          <w:rFonts w:hint="eastAsia" w:ascii="宋体" w:hAnsi="宋体"/>
          <w:kern w:val="0"/>
          <w:sz w:val="28"/>
          <w:szCs w:val="28"/>
          <w:lang w:val="en-US" w:eastAsia="zh-CN"/>
        </w:rPr>
        <w:t>12002.14</w:t>
      </w:r>
      <w:r>
        <w:rPr>
          <w:rFonts w:hint="eastAsia" w:ascii="宋体" w:hAnsi="宋体"/>
          <w:spacing w:val="2"/>
          <w:sz w:val="28"/>
          <w:szCs w:val="28"/>
          <w:lang w:val="en-US" w:eastAsia="zh-CN"/>
        </w:rPr>
        <w:t>万</w:t>
      </w:r>
      <w:r>
        <w:rPr>
          <w:rFonts w:hint="eastAsia" w:ascii="宋体" w:hAnsi="宋体"/>
          <w:spacing w:val="2"/>
          <w:sz w:val="28"/>
          <w:szCs w:val="28"/>
        </w:rPr>
        <w:t>元，原因是业务量增加。</w:t>
      </w:r>
    </w:p>
    <w:p w14:paraId="4358EFE9">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4871EBCF">
      <w:pPr>
        <w:widowControl/>
        <w:ind w:firstLine="568" w:firstLineChars="200"/>
        <w:rPr>
          <w:rFonts w:hint="default" w:ascii="宋体" w:hAnsi="宋体" w:cs="Times New Roman"/>
          <w:kern w:val="0"/>
          <w:sz w:val="28"/>
          <w:szCs w:val="28"/>
          <w:lang w:val="en-US" w:eastAsia="zh-CN"/>
        </w:rPr>
      </w:pPr>
      <w:r>
        <w:rPr>
          <w:rFonts w:hint="eastAsia" w:ascii="宋体" w:hAnsi="宋体"/>
          <w:spacing w:val="2"/>
          <w:sz w:val="28"/>
          <w:szCs w:val="28"/>
        </w:rPr>
        <w:t>20</w:t>
      </w:r>
      <w:r>
        <w:rPr>
          <w:rFonts w:hint="eastAsia" w:ascii="宋体" w:hAnsi="宋体"/>
          <w:spacing w:val="2"/>
          <w:sz w:val="28"/>
          <w:szCs w:val="28"/>
          <w:lang w:val="en-US" w:eastAsia="zh-CN"/>
        </w:rPr>
        <w:t>20</w:t>
      </w:r>
      <w:r>
        <w:rPr>
          <w:rFonts w:hint="eastAsia" w:ascii="宋体" w:hAnsi="宋体"/>
          <w:spacing w:val="2"/>
          <w:sz w:val="28"/>
          <w:szCs w:val="28"/>
        </w:rPr>
        <w:t>年全年总</w:t>
      </w:r>
      <w:r>
        <w:rPr>
          <w:rFonts w:hint="eastAsia" w:ascii="宋体" w:hAnsi="宋体"/>
          <w:spacing w:val="2"/>
          <w:sz w:val="28"/>
          <w:szCs w:val="28"/>
          <w:lang w:val="en-US" w:eastAsia="zh-CN"/>
        </w:rPr>
        <w:t>支出</w:t>
      </w:r>
      <w:r>
        <w:rPr>
          <w:rFonts w:hint="eastAsia" w:ascii="宋体" w:hAnsi="宋体"/>
          <w:kern w:val="0"/>
          <w:sz w:val="28"/>
          <w:szCs w:val="28"/>
        </w:rPr>
        <w:t>6040.57</w:t>
      </w:r>
      <w:r>
        <w:rPr>
          <w:rFonts w:hint="eastAsia" w:ascii="宋体" w:hAnsi="宋体"/>
          <w:kern w:val="0"/>
          <w:sz w:val="28"/>
          <w:szCs w:val="28"/>
          <w:lang w:val="en-US" w:eastAsia="zh-CN"/>
        </w:rPr>
        <w:t>万</w:t>
      </w:r>
      <w:r>
        <w:rPr>
          <w:rFonts w:hint="eastAsia" w:ascii="宋体" w:hAnsi="宋体"/>
          <w:kern w:val="0"/>
          <w:sz w:val="28"/>
          <w:szCs w:val="28"/>
        </w:rPr>
        <w:t>元</w:t>
      </w:r>
      <w:r>
        <w:rPr>
          <w:rFonts w:hint="eastAsia" w:ascii="宋体" w:hAnsi="宋体"/>
          <w:spacing w:val="2"/>
          <w:sz w:val="28"/>
          <w:szCs w:val="28"/>
        </w:rPr>
        <w:t>,202</w:t>
      </w:r>
      <w:r>
        <w:rPr>
          <w:rFonts w:hint="eastAsia" w:ascii="宋体" w:hAnsi="宋体"/>
          <w:spacing w:val="2"/>
          <w:sz w:val="28"/>
          <w:szCs w:val="28"/>
          <w:lang w:val="en-US" w:eastAsia="zh-CN"/>
        </w:rPr>
        <w:t>1</w:t>
      </w:r>
      <w:r>
        <w:rPr>
          <w:rFonts w:hint="eastAsia" w:ascii="宋体" w:hAnsi="宋体"/>
          <w:spacing w:val="2"/>
          <w:sz w:val="28"/>
          <w:szCs w:val="28"/>
        </w:rPr>
        <w:t>年全年总</w:t>
      </w:r>
      <w:r>
        <w:rPr>
          <w:rFonts w:hint="eastAsia" w:ascii="宋体" w:hAnsi="宋体"/>
          <w:spacing w:val="2"/>
          <w:sz w:val="28"/>
          <w:szCs w:val="28"/>
          <w:lang w:val="en-US" w:eastAsia="zh-CN"/>
        </w:rPr>
        <w:t>支出</w:t>
      </w:r>
      <w:r>
        <w:rPr>
          <w:rFonts w:hint="eastAsia" w:ascii="宋体" w:hAnsi="宋体"/>
          <w:kern w:val="0"/>
          <w:sz w:val="28"/>
          <w:szCs w:val="28"/>
          <w:lang w:val="en-US" w:eastAsia="zh-CN"/>
        </w:rPr>
        <w:t>18042.74</w:t>
      </w:r>
      <w:r>
        <w:rPr>
          <w:rFonts w:hint="eastAsia" w:ascii="宋体" w:hAnsi="宋体"/>
          <w:spacing w:val="2"/>
          <w:sz w:val="28"/>
          <w:szCs w:val="28"/>
          <w:lang w:val="en-US" w:eastAsia="zh-CN"/>
        </w:rPr>
        <w:t>万</w:t>
      </w:r>
      <w:r>
        <w:rPr>
          <w:rFonts w:hint="eastAsia" w:ascii="宋体" w:hAnsi="宋体"/>
          <w:spacing w:val="2"/>
          <w:sz w:val="28"/>
          <w:szCs w:val="28"/>
        </w:rPr>
        <w:t>元，同比上年增加</w:t>
      </w:r>
      <w:r>
        <w:rPr>
          <w:rFonts w:hint="eastAsia" w:ascii="宋体" w:hAnsi="宋体"/>
          <w:kern w:val="0"/>
          <w:sz w:val="28"/>
          <w:szCs w:val="28"/>
          <w:lang w:val="en-US" w:eastAsia="zh-CN"/>
        </w:rPr>
        <w:t>12002.14</w:t>
      </w:r>
      <w:r>
        <w:rPr>
          <w:rFonts w:hint="eastAsia" w:ascii="宋体" w:hAnsi="宋体"/>
          <w:spacing w:val="2"/>
          <w:sz w:val="28"/>
          <w:szCs w:val="28"/>
          <w:lang w:val="en-US" w:eastAsia="zh-CN"/>
        </w:rPr>
        <w:t>万</w:t>
      </w:r>
      <w:r>
        <w:rPr>
          <w:rFonts w:hint="eastAsia" w:ascii="宋体" w:hAnsi="宋体"/>
          <w:spacing w:val="2"/>
          <w:sz w:val="28"/>
          <w:szCs w:val="28"/>
        </w:rPr>
        <w:t>元，原因是业务量增加。</w:t>
      </w:r>
    </w:p>
    <w:p w14:paraId="18BE3EAE">
      <w:pPr>
        <w:rPr>
          <w:rFonts w:ascii="微软雅黑" w:hAnsi="微软雅黑" w:eastAsia="微软雅黑" w:cs="微软雅黑"/>
          <w:b/>
          <w:bCs/>
          <w:color w:val="000000"/>
          <w:spacing w:val="2"/>
          <w:sz w:val="24"/>
        </w:rPr>
      </w:pPr>
      <w:r>
        <w:rPr>
          <w:rFonts w:hint="eastAsia" w:ascii="微软雅黑" w:hAnsi="微软雅黑" w:eastAsia="微软雅黑" w:cs="微软雅黑"/>
          <w:b/>
          <w:bCs/>
          <w:color w:val="000000"/>
          <w:spacing w:val="2"/>
          <w:sz w:val="24"/>
        </w:rPr>
        <w:br w:type="page"/>
      </w:r>
    </w:p>
    <w:p w14:paraId="7C69069B">
      <w:pPr>
        <w:keepNext w:val="0"/>
        <w:keepLines w:val="0"/>
        <w:pageBreakBefore w:val="0"/>
        <w:widowControl/>
        <w:numPr>
          <w:ilvl w:val="0"/>
          <w:numId w:val="4"/>
        </w:numPr>
        <w:kinsoku/>
        <w:wordWrap/>
        <w:overflowPunct/>
        <w:topLinePunct w:val="0"/>
        <w:autoSpaceDE/>
        <w:autoSpaceDN/>
        <w:bidi w:val="0"/>
        <w:adjustRightInd/>
        <w:snapToGrid/>
        <w:spacing w:line="520" w:lineRule="exact"/>
        <w:textAlignment w:val="auto"/>
        <w:rPr>
          <w:rFonts w:ascii="微软雅黑" w:hAnsi="微软雅黑" w:eastAsia="微软雅黑" w:cs="微软雅黑"/>
          <w:b/>
          <w:bCs/>
          <w:color w:val="000000"/>
          <w:spacing w:val="2"/>
          <w:sz w:val="24"/>
        </w:rPr>
      </w:pPr>
      <w:r>
        <w:rPr>
          <w:rFonts w:hint="eastAsia" w:ascii="微软雅黑" w:hAnsi="微软雅黑" w:eastAsia="微软雅黑" w:cs="微软雅黑"/>
          <w:b/>
          <w:bCs/>
          <w:color w:val="000000"/>
          <w:spacing w:val="2"/>
          <w:sz w:val="24"/>
        </w:rPr>
        <w:t>名词解释</w:t>
      </w:r>
    </w:p>
    <w:p w14:paraId="533361FD">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（一）财政拨款（补助）：指区级财政当年拨付的资金。</w:t>
      </w:r>
    </w:p>
    <w:p w14:paraId="2D6DC74C">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（二）事业收入：指事业单位开展专业业务活动及其辅助活动取得的收入。</w:t>
      </w:r>
    </w:p>
    <w:p w14:paraId="3EA24944">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（三）其他收入：指预算单位在“财政拨款补助收入”、“事业收入”、“经营收入”以外取得的收入。</w:t>
      </w:r>
    </w:p>
    <w:p w14:paraId="2729D290">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（四）上年结转：指以前年度尚未完成、结转到本年仍按原规定用途继续使用的资金。</w:t>
      </w:r>
    </w:p>
    <w:p w14:paraId="778C6452">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cstheme="minorEastAsia"/>
          <w:color w:val="000000"/>
          <w:spacing w:val="2"/>
          <w:sz w:val="28"/>
          <w:szCs w:val="28"/>
        </w:rPr>
        <w:t>（五）基本支出：指为保障机构正常运转、完成日常工作任务而发生的人员支出和公用支出。</w:t>
      </w:r>
    </w:p>
    <w:p w14:paraId="657896CD">
      <w:pPr>
        <w:keepNext w:val="0"/>
        <w:keepLines w:val="0"/>
        <w:pageBreakBefore w:val="0"/>
        <w:widowControl/>
        <w:kinsoku/>
        <w:wordWrap/>
        <w:overflowPunct/>
        <w:topLinePunct w:val="0"/>
        <w:autoSpaceDE/>
        <w:autoSpaceDN/>
        <w:bidi w:val="0"/>
        <w:adjustRightInd/>
        <w:snapToGrid/>
        <w:spacing w:line="520" w:lineRule="exact"/>
        <w:ind w:left="559" w:leftChars="266"/>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（六）项目支出：指为完成特定的行政工作任务或事业发展目标，在基本支出之外发生的各项支出。</w:t>
      </w:r>
    </w:p>
    <w:p w14:paraId="5B23C8BC">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9B145BD">
      <w:pPr>
        <w:keepNext w:val="0"/>
        <w:keepLines w:val="0"/>
        <w:pageBreakBefore w:val="0"/>
        <w:widowControl/>
        <w:kinsoku/>
        <w:wordWrap/>
        <w:overflowPunct/>
        <w:topLinePunct w:val="0"/>
        <w:autoSpaceDE/>
        <w:autoSpaceDN/>
        <w:bidi w:val="0"/>
        <w:adjustRightInd/>
        <w:snapToGrid/>
        <w:spacing w:line="520" w:lineRule="exact"/>
        <w:ind w:firstLine="568" w:firstLineChars="200"/>
        <w:textAlignment w:val="auto"/>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（八）行政运行（项）：指机关和实行公务员法管理事业单位用于保障机构正常运转的基本支出。</w:t>
      </w:r>
    </w:p>
    <w:p w14:paraId="254F79F3">
      <w:pPr>
        <w:keepNext w:val="0"/>
        <w:keepLines w:val="0"/>
        <w:pageBreakBefore w:val="0"/>
        <w:widowControl/>
        <w:kinsoku/>
        <w:wordWrap/>
        <w:overflowPunct/>
        <w:topLinePunct w:val="0"/>
        <w:autoSpaceDE/>
        <w:autoSpaceDN/>
        <w:bidi w:val="0"/>
        <w:adjustRightInd/>
        <w:snapToGrid/>
        <w:spacing w:line="520" w:lineRule="exact"/>
        <w:ind w:firstLine="556" w:firstLineChars="196"/>
        <w:textAlignment w:val="auto"/>
        <w:rPr>
          <w:rFonts w:asciiTheme="minorEastAsia" w:hAnsiTheme="minorEastAsia" w:cstheme="minorEastAsia"/>
          <w:color w:val="000000"/>
          <w:spacing w:val="2"/>
          <w:sz w:val="28"/>
          <w:szCs w:val="28"/>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5CDBA"/>
    <w:multiLevelType w:val="singleLevel"/>
    <w:tmpl w:val="8A15CDBA"/>
    <w:lvl w:ilvl="0" w:tentative="0">
      <w:start w:val="1"/>
      <w:numFmt w:val="chineseCounting"/>
      <w:suff w:val="nothing"/>
      <w:lvlText w:val="（%1）"/>
      <w:lvlJc w:val="left"/>
      <w:rPr>
        <w:rFonts w:hint="eastAsia"/>
      </w:rPr>
    </w:lvl>
  </w:abstractNum>
  <w:abstractNum w:abstractNumId="1">
    <w:nsid w:val="95EF768B"/>
    <w:multiLevelType w:val="singleLevel"/>
    <w:tmpl w:val="95EF768B"/>
    <w:lvl w:ilvl="0" w:tentative="0">
      <w:start w:val="4"/>
      <w:numFmt w:val="chineseCounting"/>
      <w:suff w:val="space"/>
      <w:lvlText w:val="第%1部分"/>
      <w:lvlJc w:val="left"/>
      <w:rPr>
        <w:rFonts w:hint="eastAsia"/>
      </w:rPr>
    </w:lvl>
  </w:abstractNum>
  <w:abstractNum w:abstractNumId="2">
    <w:nsid w:val="D5CBE6CA"/>
    <w:multiLevelType w:val="singleLevel"/>
    <w:tmpl w:val="D5CBE6CA"/>
    <w:lvl w:ilvl="0" w:tentative="0">
      <w:start w:val="1"/>
      <w:numFmt w:val="chineseCounting"/>
      <w:suff w:val="nothing"/>
      <w:lvlText w:val="（%1）"/>
      <w:lvlJc w:val="left"/>
      <w:rPr>
        <w:rFonts w:hint="eastAsia"/>
      </w:rPr>
    </w:lvl>
  </w:abstractNum>
  <w:abstractNum w:abstractNumId="3">
    <w:nsid w:val="1031998F"/>
    <w:multiLevelType w:val="singleLevel"/>
    <w:tmpl w:val="1031998F"/>
    <w:lvl w:ilvl="0" w:tentative="0">
      <w:start w:val="5"/>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845A58"/>
    <w:rsid w:val="000D6E1D"/>
    <w:rsid w:val="001B3B62"/>
    <w:rsid w:val="0056348D"/>
    <w:rsid w:val="00583E30"/>
    <w:rsid w:val="005E6E68"/>
    <w:rsid w:val="00845A58"/>
    <w:rsid w:val="008D5163"/>
    <w:rsid w:val="00971E29"/>
    <w:rsid w:val="009B541F"/>
    <w:rsid w:val="009F05D1"/>
    <w:rsid w:val="00A1294C"/>
    <w:rsid w:val="00A6025A"/>
    <w:rsid w:val="00A745B5"/>
    <w:rsid w:val="00B64A6D"/>
    <w:rsid w:val="00B654CD"/>
    <w:rsid w:val="00C319E4"/>
    <w:rsid w:val="00D3719C"/>
    <w:rsid w:val="00D83DBC"/>
    <w:rsid w:val="00F41D15"/>
    <w:rsid w:val="00FC39BD"/>
    <w:rsid w:val="04A54286"/>
    <w:rsid w:val="0664587B"/>
    <w:rsid w:val="0687687D"/>
    <w:rsid w:val="07106873"/>
    <w:rsid w:val="073A1613"/>
    <w:rsid w:val="0E076906"/>
    <w:rsid w:val="0E836A5F"/>
    <w:rsid w:val="0EC95C85"/>
    <w:rsid w:val="11976EAC"/>
    <w:rsid w:val="14642297"/>
    <w:rsid w:val="152D4E14"/>
    <w:rsid w:val="191A225F"/>
    <w:rsid w:val="1BBE3319"/>
    <w:rsid w:val="1D5D5B84"/>
    <w:rsid w:val="1E4A0464"/>
    <w:rsid w:val="228A65CA"/>
    <w:rsid w:val="23182AEE"/>
    <w:rsid w:val="24555A5F"/>
    <w:rsid w:val="255E033E"/>
    <w:rsid w:val="289C3E82"/>
    <w:rsid w:val="2C203A0A"/>
    <w:rsid w:val="2E0D5A7F"/>
    <w:rsid w:val="2F5729E1"/>
    <w:rsid w:val="30164A83"/>
    <w:rsid w:val="30D50EA8"/>
    <w:rsid w:val="31D8525A"/>
    <w:rsid w:val="32BD01BE"/>
    <w:rsid w:val="357E0CC8"/>
    <w:rsid w:val="36D554E2"/>
    <w:rsid w:val="38203263"/>
    <w:rsid w:val="385A29BC"/>
    <w:rsid w:val="39C82E3D"/>
    <w:rsid w:val="3C2D5DD2"/>
    <w:rsid w:val="4A81157D"/>
    <w:rsid w:val="4D2E2B7B"/>
    <w:rsid w:val="4D8444A4"/>
    <w:rsid w:val="4E156BD4"/>
    <w:rsid w:val="53031CFF"/>
    <w:rsid w:val="531D39B3"/>
    <w:rsid w:val="53363FF4"/>
    <w:rsid w:val="55C23E61"/>
    <w:rsid w:val="55D55D03"/>
    <w:rsid w:val="57D04F5B"/>
    <w:rsid w:val="5ABE22F9"/>
    <w:rsid w:val="5B580B76"/>
    <w:rsid w:val="5B593347"/>
    <w:rsid w:val="5D2A193B"/>
    <w:rsid w:val="62025AF4"/>
    <w:rsid w:val="67006EDF"/>
    <w:rsid w:val="67F603AA"/>
    <w:rsid w:val="69012CA2"/>
    <w:rsid w:val="692B2102"/>
    <w:rsid w:val="6A9233DA"/>
    <w:rsid w:val="6F371F31"/>
    <w:rsid w:val="70A32328"/>
    <w:rsid w:val="718735F4"/>
    <w:rsid w:val="746766E2"/>
    <w:rsid w:val="75AF3E40"/>
    <w:rsid w:val="78186405"/>
    <w:rsid w:val="7B8D0589"/>
    <w:rsid w:val="7C877FFD"/>
    <w:rsid w:val="7ED07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 w:type="paragraph" w:customStyle="1" w:styleId="18">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2755</Words>
  <Characters>3306</Characters>
  <Lines>18</Lines>
  <Paragraphs>5</Paragraphs>
  <TotalTime>4</TotalTime>
  <ScaleCrop>false</ScaleCrop>
  <LinksUpToDate>false</LinksUpToDate>
  <CharactersWithSpaces>3321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cp:lastPrinted>2021-09-14T02:36:00Z</cp:lastPrinted>
  <dcterms:modified xsi:type="dcterms:W3CDTF">2024-12-17T02:49:03Z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8EA2E03BA9A8476CB8ED1DC6AB40E21B_13</vt:lpwstr>
  </property>
</Properties>
</file>