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C7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hint="eastAsia" w:ascii="仿宋" w:hAnsi="仿宋" w:eastAsia="仿宋" w:cs="仿宋"/>
          <w:b/>
          <w:i w:val="0"/>
          <w:caps w:val="0"/>
          <w:color w:val="C00000"/>
          <w:spacing w:val="0"/>
          <w:sz w:val="44"/>
          <w:szCs w:val="44"/>
          <w:highlight w:val="none"/>
        </w:rPr>
      </w:pPr>
      <w:bookmarkStart w:id="0" w:name="_GoBack"/>
      <w:r>
        <w:rPr>
          <w:rStyle w:val="7"/>
          <w:rFonts w:hint="eastAsia" w:ascii="仿宋" w:hAnsi="仿宋" w:eastAsia="仿宋" w:cs="仿宋"/>
          <w:b/>
          <w:i w:val="0"/>
          <w:caps w:val="0"/>
          <w:color w:val="C00000"/>
          <w:spacing w:val="0"/>
          <w:sz w:val="44"/>
          <w:szCs w:val="44"/>
          <w:highlight w:val="none"/>
          <w:shd w:val="clear" w:fill="FFFFFF"/>
          <w:lang w:eastAsia="zh-CN"/>
        </w:rPr>
        <w:t>区委老干部局</w:t>
      </w:r>
      <w:r>
        <w:rPr>
          <w:rFonts w:hint="eastAsia" w:ascii="仿宋" w:hAnsi="仿宋" w:eastAsia="仿宋" w:cs="仿宋"/>
          <w:b/>
          <w:i w:val="0"/>
          <w:caps w:val="0"/>
          <w:color w:val="C00000"/>
          <w:spacing w:val="0"/>
          <w:sz w:val="44"/>
          <w:szCs w:val="44"/>
          <w:highlight w:val="none"/>
          <w:shd w:val="clear" w:fill="FFFFFF"/>
        </w:rPr>
        <w:t>2017年决算公开</w:t>
      </w:r>
    </w:p>
    <w:bookmarkEnd w:id="0"/>
    <w:p w14:paraId="6B884F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黄石港区委老干部局</w:t>
      </w:r>
      <w:r>
        <w:rPr>
          <w:rStyle w:val="7"/>
          <w:rFonts w:hint="eastAsia" w:ascii="微软雅黑" w:hAnsi="微软雅黑" w:eastAsia="微软雅黑" w:cs="微软雅黑"/>
          <w:i w:val="0"/>
          <w:caps w:val="0"/>
          <w:color w:val="333333"/>
          <w:spacing w:val="0"/>
          <w:sz w:val="24"/>
          <w:szCs w:val="24"/>
          <w:shd w:val="clear" w:fill="FFFFFF"/>
        </w:rPr>
        <w:t>2017年决算公开</w:t>
      </w:r>
    </w:p>
    <w:p w14:paraId="7E2FA8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1DF1A1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14:paraId="1BE29D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320CD9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61CB18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部门2017年部门决算表</w:t>
      </w:r>
    </w:p>
    <w:p w14:paraId="2F2403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5FA146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089ADC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16A2B3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00AB4D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34048F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7892A1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090EAA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八、政府性基金预算财政拨款收入支出决算表（8）</w:t>
      </w:r>
    </w:p>
    <w:p w14:paraId="297917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九、政府性基金预算财政拨款“三公”支出决算表（9）</w:t>
      </w:r>
    </w:p>
    <w:p w14:paraId="7951A5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第三部分：部门2017年部门决算情况说明</w:t>
      </w:r>
    </w:p>
    <w:p w14:paraId="63635D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一、部门收入支出决算情况说明</w:t>
      </w:r>
    </w:p>
    <w:p w14:paraId="13B8A0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二、收入决算情况说明</w:t>
      </w:r>
    </w:p>
    <w:p w14:paraId="7B285E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三、支出决算情况说明</w:t>
      </w:r>
    </w:p>
    <w:p w14:paraId="46D16E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四、财政拨款收入支出决算情况说明</w:t>
      </w:r>
    </w:p>
    <w:p w14:paraId="0B8863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五、一般公共预算财政拨款支出决算情况说明</w:t>
      </w:r>
    </w:p>
    <w:p w14:paraId="2DAE56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六、一般公共预算财政拨款基本支出决算情况说明</w:t>
      </w:r>
    </w:p>
    <w:p w14:paraId="43B968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七、一般公共预算财政拨款“三公”经费支出决算情况说明</w:t>
      </w:r>
    </w:p>
    <w:p w14:paraId="57EF0F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八、政府性基金预算财政拨款收入支出决算情况说明</w:t>
      </w:r>
    </w:p>
    <w:p w14:paraId="476E3B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九、政府性基金预算财政拨款“三公”支出决算情况说明</w:t>
      </w:r>
    </w:p>
    <w:p w14:paraId="0A8455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3407C3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rPr>
        <w:t>2017年部门决算</w:t>
      </w:r>
    </w:p>
    <w:p w14:paraId="732723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14:paraId="5796D718">
      <w:pPr>
        <w:widowControl/>
        <w:shd w:val="clear" w:color="auto" w:fill="FFFFFF"/>
        <w:snapToGrid w:val="0"/>
        <w:spacing w:line="560" w:lineRule="atLeast"/>
        <w:ind w:firstLine="562"/>
        <w:jc w:val="left"/>
        <w:rPr>
          <w:rFonts w:ascii="宋体" w:hAnsi="宋体" w:cs="宋体"/>
          <w:kern w:val="0"/>
          <w:sz w:val="28"/>
          <w:szCs w:val="28"/>
        </w:rPr>
      </w:pPr>
      <w:r>
        <w:rPr>
          <w:rFonts w:hint="eastAsia" w:ascii="宋体" w:hAnsi="宋体" w:cs="宋体"/>
          <w:kern w:val="0"/>
          <w:sz w:val="28"/>
          <w:szCs w:val="28"/>
        </w:rPr>
        <w:t>（一）、主要职责</w:t>
      </w:r>
    </w:p>
    <w:p w14:paraId="3C0816E6">
      <w:pPr>
        <w:autoSpaceDE w:val="0"/>
        <w:autoSpaceDN w:val="0"/>
        <w:adjustRightInd w:val="0"/>
        <w:ind w:firstLine="560" w:firstLineChars="200"/>
        <w:jc w:val="left"/>
        <w:rPr>
          <w:rFonts w:hint="eastAsia" w:ascii="宋体" w:hAnsi="宋体"/>
          <w:sz w:val="28"/>
          <w:szCs w:val="28"/>
        </w:rPr>
      </w:pPr>
      <w:r>
        <w:rPr>
          <w:rFonts w:hint="eastAsia" w:ascii="宋体" w:hAnsi="宋体"/>
          <w:sz w:val="28"/>
          <w:szCs w:val="28"/>
        </w:rPr>
        <w:t>基本职能为：</w:t>
      </w:r>
      <w:r>
        <w:rPr>
          <w:rFonts w:hint="eastAsia" w:ascii="宋体" w:hAnsi="宋体" w:cs="宋体"/>
          <w:kern w:val="0"/>
          <w:sz w:val="28"/>
          <w:szCs w:val="28"/>
        </w:rPr>
        <w:t>我单位是一个区财政全额拨款行政单位，主要职责</w:t>
      </w:r>
      <w:r>
        <w:rPr>
          <w:rFonts w:hint="eastAsia" w:ascii="宋体" w:hAnsi="宋体" w:cs="宋体"/>
          <w:kern w:val="0"/>
          <w:sz w:val="24"/>
        </w:rPr>
        <w:t>:</w:t>
      </w:r>
    </w:p>
    <w:p w14:paraId="5DD63EC2">
      <w:pPr>
        <w:snapToGrid w:val="0"/>
        <w:spacing w:line="520" w:lineRule="exact"/>
        <w:rPr>
          <w:rFonts w:hint="eastAsia" w:ascii="宋体" w:hAnsi="宋体"/>
          <w:sz w:val="28"/>
          <w:szCs w:val="28"/>
        </w:rPr>
      </w:pPr>
      <w:r>
        <w:rPr>
          <w:rFonts w:ascii="宋体" w:hAnsi="宋体" w:cs="宋体"/>
          <w:kern w:val="0"/>
          <w:sz w:val="28"/>
          <w:szCs w:val="28"/>
        </w:rPr>
        <w:t>一、贯彻执行党和国家关于老干部的工作方针、政策，研究制定切合区情实际的具体落实办法和措施。</w:t>
      </w:r>
      <w:r>
        <w:rPr>
          <w:rFonts w:ascii="宋体" w:hAnsi="宋体" w:cs="宋体"/>
          <w:kern w:val="0"/>
          <w:sz w:val="28"/>
          <w:szCs w:val="28"/>
        </w:rPr>
        <w:br w:type="textWrapping"/>
      </w:r>
      <w:r>
        <w:rPr>
          <w:rFonts w:hint="eastAsia" w:ascii="宋体" w:hAnsi="宋体" w:cs="宋体"/>
          <w:kern w:val="0"/>
          <w:sz w:val="28"/>
          <w:szCs w:val="28"/>
        </w:rPr>
        <w:t xml:space="preserve">  </w:t>
      </w:r>
      <w:r>
        <w:rPr>
          <w:rFonts w:ascii="宋体" w:hAnsi="宋体" w:cs="宋体"/>
          <w:kern w:val="0"/>
          <w:sz w:val="28"/>
          <w:szCs w:val="28"/>
        </w:rPr>
        <w:t>二、了解老干部工作的信息和动态，研究并解决全区老干部工作中</w:t>
      </w:r>
      <w:r>
        <w:rPr>
          <w:rFonts w:hint="eastAsia" w:ascii="宋体" w:hAnsi="宋体"/>
          <w:sz w:val="28"/>
          <w:szCs w:val="28"/>
        </w:rPr>
        <w:t>出现的新情况和新问题。</w:t>
      </w:r>
      <w:r>
        <w:rPr>
          <w:rFonts w:hint="eastAsia" w:ascii="宋体" w:hAnsi="宋体"/>
          <w:sz w:val="28"/>
          <w:szCs w:val="28"/>
        </w:rPr>
        <w:br w:type="textWrapping"/>
      </w:r>
      <w:r>
        <w:rPr>
          <w:rFonts w:hint="eastAsia" w:ascii="宋体" w:hAnsi="宋体"/>
          <w:sz w:val="28"/>
          <w:szCs w:val="28"/>
        </w:rPr>
        <w:t xml:space="preserve">  三、负责全区老干部工作政策业务的指导和检查工作，督促有关部门单位落实好老干部的政治、生活待遇。</w:t>
      </w:r>
      <w:r>
        <w:rPr>
          <w:rFonts w:hint="eastAsia" w:ascii="宋体" w:hAnsi="宋体"/>
          <w:sz w:val="28"/>
          <w:szCs w:val="28"/>
        </w:rPr>
        <w:br w:type="textWrapping"/>
      </w:r>
      <w:r>
        <w:rPr>
          <w:rFonts w:hint="eastAsia" w:ascii="宋体" w:hAnsi="宋体"/>
          <w:sz w:val="28"/>
          <w:szCs w:val="28"/>
        </w:rPr>
        <w:t xml:space="preserve">  四、指导全区离退休干部党支部建设和老干部思想政治工作，组织引导老干部在三个文明建设中发挥作用。</w:t>
      </w:r>
      <w:r>
        <w:rPr>
          <w:rFonts w:hint="eastAsia" w:ascii="宋体" w:hAnsi="宋体"/>
          <w:sz w:val="28"/>
          <w:szCs w:val="28"/>
        </w:rPr>
        <w:br w:type="textWrapping"/>
      </w:r>
      <w:r>
        <w:rPr>
          <w:rFonts w:hint="eastAsia" w:ascii="宋体" w:hAnsi="宋体"/>
          <w:sz w:val="28"/>
          <w:szCs w:val="28"/>
        </w:rPr>
        <w:t xml:space="preserve">  五、做好老干部的信访接待和处理、反馈工作。</w:t>
      </w:r>
      <w:r>
        <w:rPr>
          <w:rFonts w:hint="eastAsia" w:ascii="宋体" w:hAnsi="宋体"/>
          <w:sz w:val="28"/>
          <w:szCs w:val="28"/>
        </w:rPr>
        <w:br w:type="textWrapping"/>
      </w:r>
      <w:r>
        <w:rPr>
          <w:rFonts w:hint="eastAsia" w:ascii="宋体" w:hAnsi="宋体"/>
          <w:sz w:val="28"/>
          <w:szCs w:val="28"/>
        </w:rPr>
        <w:t xml:space="preserve">  六、承担区委、区政府和区委组织部交办的其他工作。</w:t>
      </w:r>
    </w:p>
    <w:p w14:paraId="1E028752">
      <w:pPr>
        <w:snapToGrid w:val="0"/>
        <w:spacing w:line="520" w:lineRule="exact"/>
        <w:rPr>
          <w:rFonts w:hint="eastAsia" w:ascii="宋体" w:hAnsi="宋体"/>
          <w:sz w:val="28"/>
          <w:szCs w:val="28"/>
        </w:rPr>
      </w:pPr>
      <w:r>
        <w:rPr>
          <w:rFonts w:hint="eastAsia" w:ascii="宋体" w:hAnsi="宋体"/>
          <w:sz w:val="28"/>
          <w:szCs w:val="28"/>
        </w:rPr>
        <w:t>（二）单位基本信息 （机构设置等）</w:t>
      </w:r>
    </w:p>
    <w:p w14:paraId="3FCC9E44">
      <w:pPr>
        <w:snapToGrid w:val="0"/>
        <w:spacing w:line="520" w:lineRule="exact"/>
        <w:rPr>
          <w:rFonts w:hint="eastAsia" w:ascii="宋体" w:hAnsi="宋体"/>
          <w:sz w:val="28"/>
          <w:szCs w:val="28"/>
        </w:rPr>
      </w:pPr>
      <w:r>
        <w:rPr>
          <w:rFonts w:hint="eastAsia" w:ascii="宋体" w:hAnsi="宋体"/>
          <w:sz w:val="28"/>
          <w:szCs w:val="28"/>
        </w:rPr>
        <w:t>设有机构：办公室、老年大学、老干部活动中心，今年末实有在职人数为41人，总计在职人数为3人、退休人员31人、离休人员7人。人员情况：本部门年末实有人数在职3人，退休31人，离休 7人 与去年相比无变化。</w:t>
      </w:r>
    </w:p>
    <w:p w14:paraId="118D0D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0804ED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第二部分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2017年部门决算表</w:t>
      </w:r>
    </w:p>
    <w:p w14:paraId="261413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7E74E4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sectPr>
          <w:pgSz w:w="16838" w:h="11906" w:orient="landscape"/>
          <w:pgMar w:top="1800" w:right="1440" w:bottom="1800" w:left="1440" w:header="851" w:footer="992" w:gutter="0"/>
          <w:cols w:space="425" w:num="1"/>
          <w:docGrid w:type="lines" w:linePitch="312" w:charSpace="0"/>
        </w:sectPr>
      </w:pPr>
      <w:r>
        <w:drawing>
          <wp:inline distT="0" distB="0" distL="114300" distR="114300">
            <wp:extent cx="5980430" cy="5269230"/>
            <wp:effectExtent l="0" t="0" r="127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4"/>
                    <a:stretch>
                      <a:fillRect/>
                    </a:stretch>
                  </pic:blipFill>
                  <pic:spPr>
                    <a:xfrm>
                      <a:off x="0" y="0"/>
                      <a:ext cx="5980430" cy="5269230"/>
                    </a:xfrm>
                    <a:prstGeom prst="rect">
                      <a:avLst/>
                    </a:prstGeom>
                    <a:noFill/>
                    <a:ln w="9525">
                      <a:noFill/>
                    </a:ln>
                  </pic:spPr>
                </pic:pic>
              </a:graphicData>
            </a:graphic>
          </wp:inline>
        </w:drawing>
      </w:r>
      <w:r>
        <w:drawing>
          <wp:inline distT="0" distB="0" distL="114300" distR="114300">
            <wp:extent cx="8856345" cy="2125345"/>
            <wp:effectExtent l="0" t="0" r="1905"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5"/>
                    <a:stretch>
                      <a:fillRect/>
                    </a:stretch>
                  </pic:blipFill>
                  <pic:spPr>
                    <a:xfrm>
                      <a:off x="0" y="0"/>
                      <a:ext cx="8856345" cy="2125345"/>
                    </a:xfrm>
                    <a:prstGeom prst="rect">
                      <a:avLst/>
                    </a:prstGeom>
                    <a:noFill/>
                    <a:ln w="9525">
                      <a:noFill/>
                    </a:ln>
                  </pic:spPr>
                </pic:pic>
              </a:graphicData>
            </a:graphic>
          </wp:inline>
        </w:drawing>
      </w:r>
      <w:r>
        <w:drawing>
          <wp:inline distT="0" distB="0" distL="114300" distR="114300">
            <wp:extent cx="8856980" cy="2207895"/>
            <wp:effectExtent l="0" t="0" r="1270" b="190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6"/>
                    <a:stretch>
                      <a:fillRect/>
                    </a:stretch>
                  </pic:blipFill>
                  <pic:spPr>
                    <a:xfrm>
                      <a:off x="0" y="0"/>
                      <a:ext cx="8856980" cy="2207895"/>
                    </a:xfrm>
                    <a:prstGeom prst="rect">
                      <a:avLst/>
                    </a:prstGeom>
                    <a:noFill/>
                    <a:ln w="9525">
                      <a:noFill/>
                    </a:ln>
                  </pic:spPr>
                </pic:pic>
              </a:graphicData>
            </a:graphic>
          </wp:inline>
        </w:drawing>
      </w:r>
      <w:r>
        <w:drawing>
          <wp:inline distT="0" distB="0" distL="114300" distR="114300">
            <wp:extent cx="6457950" cy="51435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7"/>
                    <a:stretch>
                      <a:fillRect/>
                    </a:stretch>
                  </pic:blipFill>
                  <pic:spPr>
                    <a:xfrm>
                      <a:off x="0" y="0"/>
                      <a:ext cx="6457950" cy="5143500"/>
                    </a:xfrm>
                    <a:prstGeom prst="rect">
                      <a:avLst/>
                    </a:prstGeom>
                    <a:noFill/>
                    <a:ln w="9525">
                      <a:noFill/>
                    </a:ln>
                  </pic:spPr>
                </pic:pic>
              </a:graphicData>
            </a:graphic>
          </wp:inline>
        </w:drawing>
      </w:r>
      <w:r>
        <w:drawing>
          <wp:inline distT="0" distB="0" distL="114300" distR="114300">
            <wp:extent cx="6391275" cy="311467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8"/>
                    <a:stretch>
                      <a:fillRect/>
                    </a:stretch>
                  </pic:blipFill>
                  <pic:spPr>
                    <a:xfrm>
                      <a:off x="0" y="0"/>
                      <a:ext cx="6391275" cy="3114675"/>
                    </a:xfrm>
                    <a:prstGeom prst="rect">
                      <a:avLst/>
                    </a:prstGeom>
                    <a:noFill/>
                    <a:ln w="9525">
                      <a:noFill/>
                    </a:ln>
                  </pic:spPr>
                </pic:pic>
              </a:graphicData>
            </a:graphic>
          </wp:inline>
        </w:drawing>
      </w:r>
      <w:r>
        <w:drawing>
          <wp:inline distT="0" distB="0" distL="114300" distR="114300">
            <wp:extent cx="8858885" cy="4863465"/>
            <wp:effectExtent l="0" t="0" r="18415" b="1333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9"/>
                    <a:stretch>
                      <a:fillRect/>
                    </a:stretch>
                  </pic:blipFill>
                  <pic:spPr>
                    <a:xfrm>
                      <a:off x="0" y="0"/>
                      <a:ext cx="8858885" cy="4863465"/>
                    </a:xfrm>
                    <a:prstGeom prst="rect">
                      <a:avLst/>
                    </a:prstGeom>
                    <a:noFill/>
                    <a:ln w="9525">
                      <a:noFill/>
                    </a:ln>
                  </pic:spPr>
                </pic:pic>
              </a:graphicData>
            </a:graphic>
          </wp:inline>
        </w:drawing>
      </w:r>
      <w:r>
        <w:drawing>
          <wp:inline distT="0" distB="0" distL="114300" distR="114300">
            <wp:extent cx="8862695" cy="1911985"/>
            <wp:effectExtent l="0" t="0" r="14605" b="1206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0"/>
                    <a:stretch>
                      <a:fillRect/>
                    </a:stretch>
                  </pic:blipFill>
                  <pic:spPr>
                    <a:xfrm>
                      <a:off x="0" y="0"/>
                      <a:ext cx="8862695" cy="1911985"/>
                    </a:xfrm>
                    <a:prstGeom prst="rect">
                      <a:avLst/>
                    </a:prstGeom>
                    <a:noFill/>
                    <a:ln w="9525">
                      <a:noFill/>
                    </a:ln>
                  </pic:spPr>
                </pic:pic>
              </a:graphicData>
            </a:graphic>
          </wp:inline>
        </w:drawing>
      </w:r>
      <w:r>
        <w:drawing>
          <wp:inline distT="0" distB="0" distL="114300" distR="114300">
            <wp:extent cx="8855710" cy="2172335"/>
            <wp:effectExtent l="0" t="0" r="2540" b="1841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1"/>
                    <a:stretch>
                      <a:fillRect/>
                    </a:stretch>
                  </pic:blipFill>
                  <pic:spPr>
                    <a:xfrm>
                      <a:off x="0" y="0"/>
                      <a:ext cx="8855710" cy="2172335"/>
                    </a:xfrm>
                    <a:prstGeom prst="rect">
                      <a:avLst/>
                    </a:prstGeom>
                    <a:noFill/>
                    <a:ln w="9525">
                      <a:noFill/>
                    </a:ln>
                  </pic:spPr>
                </pic:pic>
              </a:graphicData>
            </a:graphic>
          </wp:inline>
        </w:drawing>
      </w:r>
    </w:p>
    <w:p w14:paraId="318BCE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615B20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p>
    <w:p w14:paraId="3D7A1D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第三部分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2017年部门决算情况说明</w:t>
      </w:r>
    </w:p>
    <w:p w14:paraId="78B3586A">
      <w:pPr>
        <w:snapToGrid w:val="0"/>
        <w:spacing w:line="520" w:lineRule="exact"/>
        <w:rPr>
          <w:rFonts w:hint="eastAsia" w:ascii="宋体" w:hAnsi="宋体"/>
          <w:sz w:val="28"/>
          <w:szCs w:val="28"/>
        </w:rPr>
      </w:pPr>
      <w:r>
        <w:rPr>
          <w:rFonts w:hint="eastAsia" w:ascii="宋体" w:hAnsi="宋体"/>
          <w:sz w:val="28"/>
          <w:szCs w:val="28"/>
        </w:rPr>
        <w:t>（一）预算执行情况分析</w:t>
      </w:r>
    </w:p>
    <w:p w14:paraId="060CC998">
      <w:pPr>
        <w:snapToGrid w:val="0"/>
        <w:spacing w:line="520" w:lineRule="exact"/>
        <w:rPr>
          <w:rFonts w:hint="eastAsia" w:ascii="宋体" w:hAnsi="宋体"/>
          <w:sz w:val="28"/>
          <w:szCs w:val="28"/>
        </w:rPr>
      </w:pPr>
      <w:r>
        <w:rPr>
          <w:rFonts w:hint="eastAsia" w:ascii="宋体" w:hAnsi="宋体"/>
          <w:sz w:val="28"/>
          <w:szCs w:val="28"/>
        </w:rPr>
        <w:t>1、收入分析：</w:t>
      </w:r>
    </w:p>
    <w:p w14:paraId="51F10407">
      <w:pPr>
        <w:snapToGrid w:val="0"/>
        <w:spacing w:line="520" w:lineRule="exact"/>
        <w:rPr>
          <w:rFonts w:hint="eastAsia" w:ascii="宋体" w:hAnsi="宋体"/>
          <w:sz w:val="28"/>
          <w:szCs w:val="28"/>
        </w:rPr>
      </w:pPr>
      <w:r>
        <w:rPr>
          <w:rFonts w:hint="eastAsia" w:ascii="宋体" w:hAnsi="宋体"/>
          <w:sz w:val="28"/>
          <w:szCs w:val="28"/>
        </w:rPr>
        <w:t>2017年总收入442.84万元。比去年的528.16万元减少85.32万元，</w:t>
      </w:r>
    </w:p>
    <w:p w14:paraId="73D45DAE">
      <w:pPr>
        <w:snapToGrid w:val="0"/>
        <w:spacing w:line="520" w:lineRule="exact"/>
        <w:rPr>
          <w:rFonts w:hint="eastAsia" w:ascii="宋体" w:hAnsi="宋体"/>
          <w:sz w:val="28"/>
          <w:szCs w:val="28"/>
        </w:rPr>
      </w:pPr>
      <w:r>
        <w:rPr>
          <w:rFonts w:hint="eastAsia" w:ascii="宋体" w:hAnsi="宋体"/>
          <w:sz w:val="28"/>
          <w:szCs w:val="28"/>
        </w:rPr>
        <w:t>其中:财政拨款417.01万元，占总收入的94.2%;</w:t>
      </w:r>
    </w:p>
    <w:p w14:paraId="2A1D615A">
      <w:pPr>
        <w:snapToGrid w:val="0"/>
        <w:spacing w:line="520" w:lineRule="exact"/>
        <w:rPr>
          <w:rFonts w:hint="eastAsia" w:ascii="宋体" w:hAnsi="宋体"/>
          <w:sz w:val="28"/>
          <w:szCs w:val="28"/>
        </w:rPr>
      </w:pPr>
      <w:r>
        <w:rPr>
          <w:rFonts w:hint="eastAsia" w:ascii="宋体" w:hAnsi="宋体"/>
          <w:sz w:val="28"/>
          <w:szCs w:val="28"/>
        </w:rPr>
        <w:t>其他收入25.84万元占总收入5.8%</w:t>
      </w:r>
    </w:p>
    <w:p w14:paraId="183DBBC0">
      <w:pPr>
        <w:snapToGrid w:val="0"/>
        <w:spacing w:line="520" w:lineRule="exact"/>
        <w:rPr>
          <w:rFonts w:hint="eastAsia" w:ascii="宋体" w:hAnsi="宋体"/>
          <w:sz w:val="28"/>
          <w:szCs w:val="28"/>
        </w:rPr>
      </w:pPr>
      <w:r>
        <w:rPr>
          <w:rFonts w:hint="eastAsia" w:ascii="宋体" w:hAnsi="宋体"/>
          <w:sz w:val="28"/>
          <w:szCs w:val="28"/>
        </w:rPr>
        <w:t>2、支出分析：</w:t>
      </w:r>
    </w:p>
    <w:p w14:paraId="231ED3C4">
      <w:pPr>
        <w:snapToGrid w:val="0"/>
        <w:spacing w:line="520" w:lineRule="exact"/>
        <w:rPr>
          <w:rFonts w:hint="eastAsia" w:ascii="宋体" w:hAnsi="宋体"/>
          <w:sz w:val="28"/>
          <w:szCs w:val="28"/>
        </w:rPr>
      </w:pPr>
      <w:r>
        <w:rPr>
          <w:rFonts w:hint="eastAsia" w:ascii="宋体" w:hAnsi="宋体"/>
          <w:sz w:val="28"/>
          <w:szCs w:val="28"/>
        </w:rPr>
        <w:t>2017年总支出为442.84万元。比去年的528.16万元减少85.32万元，其中一般公共预算财政拨款支出417.01万元，具体构成如下：</w:t>
      </w:r>
    </w:p>
    <w:p w14:paraId="2CE32F99">
      <w:pPr>
        <w:snapToGrid w:val="0"/>
        <w:spacing w:line="520" w:lineRule="exact"/>
        <w:rPr>
          <w:rFonts w:hint="eastAsia" w:ascii="宋体" w:hAnsi="宋体"/>
          <w:sz w:val="28"/>
          <w:szCs w:val="28"/>
        </w:rPr>
      </w:pPr>
      <w:r>
        <w:rPr>
          <w:rFonts w:hint="eastAsia" w:ascii="宋体" w:hAnsi="宋体"/>
          <w:sz w:val="28"/>
          <w:szCs w:val="28"/>
        </w:rPr>
        <w:t>（1）工资福利支出81.46万元。</w:t>
      </w:r>
    </w:p>
    <w:p w14:paraId="548C1B50">
      <w:pPr>
        <w:snapToGrid w:val="0"/>
        <w:spacing w:line="520" w:lineRule="exact"/>
        <w:rPr>
          <w:rFonts w:hint="eastAsia" w:ascii="宋体" w:hAnsi="宋体"/>
          <w:sz w:val="28"/>
          <w:szCs w:val="28"/>
        </w:rPr>
      </w:pPr>
      <w:r>
        <w:rPr>
          <w:rFonts w:hint="eastAsia" w:ascii="宋体" w:hAnsi="宋体"/>
          <w:sz w:val="28"/>
          <w:szCs w:val="28"/>
        </w:rPr>
        <w:t>（2）商品和服务支出63.09万元。</w:t>
      </w:r>
    </w:p>
    <w:p w14:paraId="69DC1F83">
      <w:pPr>
        <w:snapToGrid w:val="0"/>
        <w:spacing w:line="520" w:lineRule="exact"/>
        <w:rPr>
          <w:rFonts w:hint="eastAsia" w:ascii="宋体" w:hAnsi="宋体"/>
          <w:sz w:val="28"/>
          <w:szCs w:val="28"/>
        </w:rPr>
      </w:pPr>
      <w:r>
        <w:rPr>
          <w:rFonts w:hint="eastAsia" w:ascii="宋体" w:hAnsi="宋体"/>
          <w:sz w:val="28"/>
          <w:szCs w:val="28"/>
        </w:rPr>
        <w:t>（3）对个人和家庭的补助支出272.46万元。</w:t>
      </w:r>
    </w:p>
    <w:p w14:paraId="61D80DF2">
      <w:pPr>
        <w:snapToGrid w:val="0"/>
        <w:spacing w:line="520" w:lineRule="exact"/>
        <w:rPr>
          <w:rFonts w:hint="eastAsia" w:ascii="宋体" w:hAnsi="宋体"/>
          <w:sz w:val="28"/>
          <w:szCs w:val="28"/>
        </w:rPr>
      </w:pPr>
      <w:r>
        <w:rPr>
          <w:rFonts w:hint="eastAsia" w:ascii="宋体" w:hAnsi="宋体"/>
          <w:sz w:val="28"/>
          <w:szCs w:val="28"/>
        </w:rPr>
        <w:t>（二）、关于“三公“经费支出说明</w:t>
      </w:r>
    </w:p>
    <w:p w14:paraId="113507A7">
      <w:pPr>
        <w:snapToGrid w:val="0"/>
        <w:spacing w:line="520" w:lineRule="exact"/>
        <w:rPr>
          <w:rFonts w:hint="eastAsia" w:ascii="宋体" w:hAnsi="宋体"/>
          <w:sz w:val="28"/>
          <w:szCs w:val="28"/>
        </w:rPr>
      </w:pPr>
      <w:r>
        <w:rPr>
          <w:rFonts w:hint="eastAsia" w:ascii="宋体" w:hAnsi="宋体"/>
          <w:sz w:val="28"/>
          <w:szCs w:val="28"/>
        </w:rPr>
        <w:t>1、“三公”经费支出情况：</w:t>
      </w:r>
    </w:p>
    <w:p w14:paraId="7860DBE8">
      <w:pPr>
        <w:snapToGrid w:val="0"/>
        <w:spacing w:line="520" w:lineRule="exact"/>
        <w:rPr>
          <w:rFonts w:hint="eastAsia" w:ascii="宋体" w:hAnsi="宋体"/>
          <w:sz w:val="28"/>
          <w:szCs w:val="28"/>
        </w:rPr>
      </w:pPr>
      <w:r>
        <w:rPr>
          <w:rFonts w:hint="eastAsia" w:ascii="宋体" w:hAnsi="宋体"/>
          <w:sz w:val="28"/>
          <w:szCs w:val="28"/>
        </w:rPr>
        <w:t>2017年决算公务车运行维护费0元。2017年决算公务车运行维护费0元。2017年决算公务接待数为0.11万元， 同去年持平。</w:t>
      </w:r>
    </w:p>
    <w:p w14:paraId="4311BCBF">
      <w:pPr>
        <w:snapToGrid w:val="0"/>
        <w:spacing w:line="520" w:lineRule="exact"/>
        <w:rPr>
          <w:rFonts w:hint="eastAsia" w:ascii="宋体" w:hAnsi="宋体"/>
          <w:sz w:val="28"/>
          <w:szCs w:val="28"/>
        </w:rPr>
      </w:pPr>
      <w:r>
        <w:rPr>
          <w:rFonts w:hint="eastAsia" w:ascii="宋体" w:hAnsi="宋体"/>
          <w:sz w:val="28"/>
          <w:szCs w:val="28"/>
        </w:rPr>
        <w:t xml:space="preserve">2017年国内公务接待批4次，国内公务接待人次13人。 </w:t>
      </w:r>
    </w:p>
    <w:p w14:paraId="3125694A">
      <w:pPr>
        <w:snapToGrid w:val="0"/>
        <w:spacing w:line="520" w:lineRule="exact"/>
        <w:rPr>
          <w:rFonts w:hint="eastAsia" w:ascii="宋体" w:hAnsi="宋体"/>
          <w:sz w:val="28"/>
          <w:szCs w:val="28"/>
        </w:rPr>
      </w:pPr>
      <w:r>
        <w:rPr>
          <w:rFonts w:hint="eastAsia" w:ascii="宋体" w:hAnsi="宋体"/>
          <w:sz w:val="28"/>
          <w:szCs w:val="28"/>
        </w:rPr>
        <w:t>（三）、机关运行经费支出情况：</w:t>
      </w:r>
    </w:p>
    <w:p w14:paraId="69204F50">
      <w:pPr>
        <w:snapToGrid w:val="0"/>
        <w:spacing w:line="520" w:lineRule="exact"/>
        <w:ind w:firstLine="560" w:firstLineChars="200"/>
        <w:rPr>
          <w:rFonts w:hint="eastAsia" w:ascii="宋体" w:hAnsi="宋体"/>
          <w:sz w:val="28"/>
          <w:szCs w:val="28"/>
        </w:rPr>
      </w:pPr>
      <w:r>
        <w:rPr>
          <w:rFonts w:hint="eastAsia" w:ascii="宋体" w:hAnsi="宋体"/>
          <w:sz w:val="28"/>
          <w:szCs w:val="28"/>
        </w:rPr>
        <w:t>今年本部门机关运行经费支出0.11万元，比去年的1.79万元减少1.6783万元。</w:t>
      </w:r>
    </w:p>
    <w:p w14:paraId="023344C9">
      <w:pPr>
        <w:snapToGrid w:val="0"/>
        <w:spacing w:line="520" w:lineRule="exact"/>
        <w:rPr>
          <w:rFonts w:hint="eastAsia" w:ascii="宋体" w:hAnsi="宋体"/>
          <w:sz w:val="28"/>
          <w:szCs w:val="28"/>
        </w:rPr>
      </w:pPr>
      <w:r>
        <w:rPr>
          <w:rFonts w:hint="eastAsia" w:ascii="宋体" w:hAnsi="宋体"/>
          <w:sz w:val="28"/>
          <w:szCs w:val="28"/>
        </w:rPr>
        <w:t>（四）关于政府采购支出说明</w:t>
      </w:r>
    </w:p>
    <w:p w14:paraId="772165EA">
      <w:pPr>
        <w:snapToGrid w:val="0"/>
        <w:spacing w:line="520" w:lineRule="exact"/>
        <w:rPr>
          <w:rFonts w:hint="eastAsia" w:ascii="宋体" w:hAnsi="宋体"/>
          <w:sz w:val="28"/>
          <w:szCs w:val="28"/>
        </w:rPr>
      </w:pPr>
      <w:r>
        <w:rPr>
          <w:rFonts w:hint="eastAsia" w:ascii="宋体" w:hAnsi="宋体"/>
          <w:sz w:val="28"/>
          <w:szCs w:val="28"/>
        </w:rPr>
        <w:t>区人大2017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12F4CD41">
      <w:pPr>
        <w:snapToGrid w:val="0"/>
        <w:spacing w:line="520" w:lineRule="exact"/>
        <w:rPr>
          <w:rFonts w:hint="eastAsia" w:ascii="宋体" w:hAnsi="宋体"/>
          <w:sz w:val="28"/>
          <w:szCs w:val="28"/>
        </w:rPr>
      </w:pPr>
      <w:r>
        <w:rPr>
          <w:rFonts w:hint="eastAsia" w:ascii="宋体" w:hAnsi="宋体"/>
          <w:sz w:val="28"/>
          <w:szCs w:val="28"/>
        </w:rPr>
        <w:t>（五）关于国有资产占用情况说明</w:t>
      </w:r>
    </w:p>
    <w:p w14:paraId="66F62C9E">
      <w:pPr>
        <w:snapToGrid w:val="0"/>
        <w:spacing w:line="520" w:lineRule="exact"/>
        <w:rPr>
          <w:rFonts w:hint="eastAsia" w:ascii="宋体" w:hAnsi="宋体"/>
          <w:sz w:val="28"/>
          <w:szCs w:val="28"/>
        </w:rPr>
      </w:pPr>
      <w:r>
        <w:rPr>
          <w:rFonts w:hint="eastAsia" w:ascii="宋体" w:hAnsi="宋体"/>
          <w:sz w:val="28"/>
          <w:szCs w:val="28"/>
        </w:rPr>
        <w:t>截至2017年12月31日，我局共有车辆0辆，其中，领导干部用车0辆、一般公务用车0辆、一般执法执勤用车0辆、特种专业技术用车0辆、其他用车0辆，其他用车主要是……；单位价值50万元以上通用设备0台（套），单价100万元以上专用设备0台（套）。</w:t>
      </w:r>
    </w:p>
    <w:p w14:paraId="0AAE8B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rPr>
        <w:t>第四部分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名词解释</w:t>
      </w:r>
    </w:p>
    <w:p w14:paraId="20F010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一、财政补助收入：指县级财政当年拨付的资金。</w:t>
      </w:r>
    </w:p>
    <w:p w14:paraId="0A6E20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二、其他收入：指除“财政拨款收入”、“上级补助收入”、“事业收入”、“经营收入”等以外的收入。主要是存款利息收入等。</w:t>
      </w:r>
    </w:p>
    <w:p w14:paraId="5BE517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三、年初结转和结余：指以前年度尚未完成、结转到本年按有关规定继续使用的资金。</w:t>
      </w:r>
    </w:p>
    <w:p w14:paraId="458F73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四、一般公共服务（类）行政运行（项）：指县行政单位及参照公务员管理事业单位用于保障机构正常运行、开展日常工作的基本支出。</w:t>
      </w:r>
    </w:p>
    <w:p w14:paraId="725332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五、一般公共服务（类）一般行政管理事务（项）：指县行政单位及参照公务员管理事业单位用于开展立法调研、财政信息宣传、非税收入征管等未单独设置项级科目的专门性财政管理工作的项目支出。</w:t>
      </w:r>
    </w:p>
    <w:p w14:paraId="31CF13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六、一般公共服务（类）机关服务（项）：指县</w:t>
      </w:r>
      <w:r>
        <w:rPr>
          <w:rFonts w:hint="eastAsia" w:ascii="微软雅黑" w:hAnsi="微软雅黑" w:eastAsia="微软雅黑" w:cs="微软雅黑"/>
          <w:b w:val="0"/>
          <w:i w:val="0"/>
          <w:caps w:val="0"/>
          <w:color w:val="333333"/>
          <w:spacing w:val="0"/>
          <w:sz w:val="24"/>
          <w:szCs w:val="24"/>
          <w:shd w:val="clear" w:fill="FFFFFF"/>
          <w:lang w:eastAsia="zh-CN"/>
        </w:rPr>
        <w:t>黄石港区委老干部局</w:t>
      </w:r>
      <w:r>
        <w:rPr>
          <w:rFonts w:hint="eastAsia" w:ascii="微软雅黑" w:hAnsi="微软雅黑" w:eastAsia="微软雅黑" w:cs="微软雅黑"/>
          <w:b w:val="0"/>
          <w:i w:val="0"/>
          <w:caps w:val="0"/>
          <w:color w:val="333333"/>
          <w:spacing w:val="0"/>
          <w:sz w:val="24"/>
          <w:szCs w:val="24"/>
          <w:shd w:val="clear" w:fill="FFFFFF"/>
        </w:rPr>
        <w:t>服务中心为机关提供办公楼日常维修、维护等后勤保障服务的支出。</w:t>
      </w:r>
    </w:p>
    <w:p w14:paraId="51E456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七、一般公共服务（类）其他一般公共服务支出（款）其他一般公共服务支出（项）：指</w:t>
      </w:r>
      <w:r>
        <w:rPr>
          <w:rFonts w:hint="eastAsia" w:ascii="微软雅黑" w:hAnsi="微软雅黑" w:eastAsia="微软雅黑" w:cs="微软雅黑"/>
          <w:b w:val="0"/>
          <w:i w:val="0"/>
          <w:caps w:val="0"/>
          <w:color w:val="333333"/>
          <w:spacing w:val="0"/>
          <w:sz w:val="24"/>
          <w:szCs w:val="24"/>
          <w:shd w:val="clear" w:fill="FFFFFF"/>
          <w:lang w:eastAsia="zh-CN"/>
        </w:rPr>
        <w:t>黄石港区委老干部局</w:t>
      </w:r>
      <w:r>
        <w:rPr>
          <w:rFonts w:hint="eastAsia" w:ascii="微软雅黑" w:hAnsi="微软雅黑" w:eastAsia="微软雅黑" w:cs="微软雅黑"/>
          <w:b w:val="0"/>
          <w:i w:val="0"/>
          <w:caps w:val="0"/>
          <w:color w:val="333333"/>
          <w:spacing w:val="0"/>
          <w:sz w:val="24"/>
          <w:szCs w:val="24"/>
          <w:shd w:val="clear" w:fill="FFFFFF"/>
        </w:rPr>
        <w:t>用于其他一般公共服务方面的支出。</w:t>
      </w:r>
    </w:p>
    <w:p w14:paraId="40997E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八、教育（类）普通教育（款）高等教育（项）：指</w:t>
      </w:r>
      <w:r>
        <w:rPr>
          <w:rFonts w:hint="eastAsia" w:ascii="微软雅黑" w:hAnsi="微软雅黑" w:eastAsia="微软雅黑" w:cs="微软雅黑"/>
          <w:b w:val="0"/>
          <w:i w:val="0"/>
          <w:caps w:val="0"/>
          <w:color w:val="333333"/>
          <w:spacing w:val="0"/>
          <w:sz w:val="24"/>
          <w:szCs w:val="24"/>
          <w:shd w:val="clear" w:fill="FFFFFF"/>
          <w:lang w:eastAsia="zh-CN"/>
        </w:rPr>
        <w:t>黄石港区委老干部局</w:t>
      </w:r>
      <w:r>
        <w:rPr>
          <w:rFonts w:hint="eastAsia" w:ascii="微软雅黑" w:hAnsi="微软雅黑" w:eastAsia="微软雅黑" w:cs="微软雅黑"/>
          <w:b w:val="0"/>
          <w:i w:val="0"/>
          <w:caps w:val="0"/>
          <w:color w:val="333333"/>
          <w:spacing w:val="0"/>
          <w:sz w:val="24"/>
          <w:szCs w:val="24"/>
          <w:shd w:val="clear" w:fill="FFFFFF"/>
        </w:rPr>
        <w:t>厅支持地方高校的重点发展和特色办学，组织专家对省属院校申报的建设规划和项目预算进行评审等相关工作的支出。</w:t>
      </w:r>
    </w:p>
    <w:p w14:paraId="69EC3B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九、社会保障和就业(类)行政事业单位离退休（款）归口管理的行政单位离退休（项）：指</w:t>
      </w:r>
      <w:r>
        <w:rPr>
          <w:rFonts w:hint="eastAsia" w:ascii="微软雅黑" w:hAnsi="微软雅黑" w:eastAsia="微软雅黑" w:cs="微软雅黑"/>
          <w:b w:val="0"/>
          <w:i w:val="0"/>
          <w:caps w:val="0"/>
          <w:color w:val="333333"/>
          <w:spacing w:val="0"/>
          <w:sz w:val="24"/>
          <w:szCs w:val="24"/>
          <w:shd w:val="clear" w:fill="FFFFFF"/>
          <w:lang w:eastAsia="zh-CN"/>
        </w:rPr>
        <w:t>黄石港区委老干部局</w:t>
      </w:r>
      <w:r>
        <w:rPr>
          <w:rFonts w:hint="eastAsia" w:ascii="微软雅黑" w:hAnsi="微软雅黑" w:eastAsia="微软雅黑" w:cs="微软雅黑"/>
          <w:b w:val="0"/>
          <w:i w:val="0"/>
          <w:caps w:val="0"/>
          <w:color w:val="333333"/>
          <w:spacing w:val="0"/>
          <w:sz w:val="24"/>
          <w:szCs w:val="24"/>
          <w:shd w:val="clear" w:fill="FFFFFF"/>
        </w:rPr>
        <w:t>用于离退休人员的支出、退休人员支出，以及提供管理服务工作的离退休干部处的支出。</w:t>
      </w:r>
    </w:p>
    <w:p w14:paraId="4826B3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十、社会保障和就业(类)行政事业单位离退休（款）其他行政事业单位离退休支出（项）：指</w:t>
      </w:r>
      <w:r>
        <w:rPr>
          <w:rFonts w:hint="eastAsia" w:ascii="微软雅黑" w:hAnsi="微软雅黑" w:eastAsia="微软雅黑" w:cs="微软雅黑"/>
          <w:b w:val="0"/>
          <w:i w:val="0"/>
          <w:caps w:val="0"/>
          <w:color w:val="333333"/>
          <w:spacing w:val="0"/>
          <w:sz w:val="24"/>
          <w:szCs w:val="24"/>
          <w:shd w:val="clear" w:fill="FFFFFF"/>
          <w:lang w:eastAsia="zh-CN"/>
        </w:rPr>
        <w:t>黄石港区委老干部局</w:t>
      </w:r>
      <w:r>
        <w:rPr>
          <w:rFonts w:hint="eastAsia" w:ascii="微软雅黑" w:hAnsi="微软雅黑" w:eastAsia="微软雅黑" w:cs="微软雅黑"/>
          <w:b w:val="0"/>
          <w:i w:val="0"/>
          <w:caps w:val="0"/>
          <w:color w:val="333333"/>
          <w:spacing w:val="0"/>
          <w:sz w:val="24"/>
          <w:szCs w:val="24"/>
          <w:shd w:val="clear" w:fill="FFFFFF"/>
        </w:rPr>
        <w:t>用于离退休方面的其他支出。</w:t>
      </w:r>
    </w:p>
    <w:p w14:paraId="198BD7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十一、医疗卫生与计划生育（类）医疗保障（款）行政单位医疗（项）：指</w:t>
      </w:r>
      <w:r>
        <w:rPr>
          <w:rFonts w:hint="eastAsia" w:ascii="微软雅黑" w:hAnsi="微软雅黑" w:eastAsia="微软雅黑" w:cs="微软雅黑"/>
          <w:b w:val="0"/>
          <w:i w:val="0"/>
          <w:caps w:val="0"/>
          <w:color w:val="333333"/>
          <w:spacing w:val="0"/>
          <w:sz w:val="24"/>
          <w:szCs w:val="24"/>
          <w:shd w:val="clear" w:fill="FFFFFF"/>
          <w:lang w:eastAsia="zh-CN"/>
        </w:rPr>
        <w:t>黄石港区委老干部局</w:t>
      </w:r>
      <w:r>
        <w:rPr>
          <w:rFonts w:hint="eastAsia" w:ascii="微软雅黑" w:hAnsi="微软雅黑" w:eastAsia="微软雅黑" w:cs="微软雅黑"/>
          <w:b w:val="0"/>
          <w:i w:val="0"/>
          <w:caps w:val="0"/>
          <w:color w:val="333333"/>
          <w:spacing w:val="0"/>
          <w:sz w:val="24"/>
          <w:szCs w:val="24"/>
          <w:shd w:val="clear" w:fill="FFFFFF"/>
        </w:rPr>
        <w:t>用于机关干部职工及离退休人员医疗方面的支出。</w:t>
      </w:r>
    </w:p>
    <w:p w14:paraId="24036C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十二、住房保障（类）住房改革支出（款）购房补贴（项）：指按照相关住房分配货币化改革的政策规定和标准，对无房和住房未达标职工发放的住房分配货币化补贴资金。</w:t>
      </w:r>
    </w:p>
    <w:p w14:paraId="13B520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十三、年末结转和结余：指本年度或以前年度预算安排、因客观条件发生变化无法按原计划实施，需要延迟到以后年度按有关规定继续使用的资金。</w:t>
      </w:r>
    </w:p>
    <w:p w14:paraId="22A38A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十四、基本支出：指为保障机构正常运转、完成日常工作任务而发生的人员支出（包括基本工资、津贴补贴等）和公用支出（包括办公费、水电费、邮电费、交通费、差旅费等）。</w:t>
      </w:r>
    </w:p>
    <w:p w14:paraId="543B86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十五、项目支出：指在基本支出之外为完成特定行政任务和事业发展目标所发生的支出。</w:t>
      </w:r>
    </w:p>
    <w:p w14:paraId="11B1DB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十六、“三公”经费：是指用财政拨款安排的因公出国（境）费、公务用车购置及运行维护费、公务接待费。</w:t>
      </w:r>
    </w:p>
    <w:p w14:paraId="7B9C66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4587B"/>
    <w:rsid w:val="255E033E"/>
    <w:rsid w:val="2CCE2491"/>
    <w:rsid w:val="6E5970F7"/>
    <w:rsid w:val="746766E2"/>
    <w:rsid w:val="78186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uiPriority w:val="0"/>
    <w:pPr>
      <w:spacing w:line="560" w:lineRule="exact"/>
      <w:ind w:firstLine="640"/>
    </w:pPr>
    <w:rPr>
      <w:rFonts w:ascii="仿宋" w:hAnsi="仿宋" w:cs="宋体"/>
      <w:sz w:val="32"/>
      <w:szCs w:val="32"/>
    </w:rPr>
  </w:style>
  <w:style w:type="character" w:customStyle="1" w:styleId="9">
    <w:name w:val="ca-2"/>
    <w:basedOn w:val="6"/>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2409</Words>
  <Characters>2542</Characters>
  <Lines>0</Lines>
  <Paragraphs>0</Paragraphs>
  <TotalTime>0</TotalTime>
  <ScaleCrop>false</ScaleCrop>
  <LinksUpToDate>false</LinksUpToDate>
  <CharactersWithSpaces>2565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2025-02-12T03:38:45Z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eyJoZGlkIjoiMmEwODY1NTVkYWU2MmY3ZjA1NmUwM2E0YmM4MzhhNTAiLCJ1c2VySWQiOiIyNjYwNzM2MzQifQ==</vt:lpwstr>
  </property>
  <property fmtid="{D5CDD505-2E9C-101B-9397-08002B2CF9AE}" pid="4" name="ICV">
    <vt:lpwstr>B02EF11BB40A4F61A1CEE4820F2F4DE5_13</vt:lpwstr>
  </property>
</Properties>
</file>