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审计局2018年决算公开</w:t>
      </w:r>
    </w:p>
    <w:p>
      <w:pPr>
        <w:pStyle w:val="7"/>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rPr>
        <w:t>黄石港区审计局2018年决算公开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第一部分:部门基本情况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第二部分: 部门2018年部门决算表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八、政府性基金预算财政拨款收入支出决算表（8）</w:t>
      </w:r>
    </w:p>
    <w:p>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第三部分：部门2018年部门决算情况说明</w:t>
      </w:r>
    </w:p>
    <w:p>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第四部分：名词解释 </w:t>
      </w:r>
    </w:p>
    <w:p>
      <w:pPr>
        <w:pStyle w:val="7"/>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rPr>
        <w:t>2018年部门决算</w:t>
      </w:r>
    </w:p>
    <w:p>
      <w:pPr>
        <w:pStyle w:val="7"/>
        <w:widowControl/>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auto" w:fill="FFFFFF"/>
        </w:rPr>
        <w:t>第一部分 部门概况</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rPr>
        <w:t>（</w:t>
      </w:r>
      <w:r>
        <w:rPr>
          <w:rFonts w:hint="eastAsia" w:asciiTheme="minorEastAsia" w:hAnsiTheme="minorEastAsia" w:eastAsiaTheme="minorEastAsia" w:cstheme="minorEastAsia"/>
          <w:sz w:val="28"/>
          <w:szCs w:val="28"/>
        </w:rPr>
        <w:t>一）主要职责</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黄石港区审计局系区政府对本级财政及其所属行政机关、企事业财务收支进行审计监督的职能部门，维护全区财政经济秩序，提高财政资金使用效益，促进廉政建设，保障全区国民经济和社会健康发展。</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审计局业务管理职能是：</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1、对本级预算执行情况、本级各部门和下级政府（街道办事处）预算执行和决算，以及预算外资金的管理和使用情况进行审计监督；</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2、对区直事业单位的财务收支进行审计监督；对区直各部门行政领导干部、国有企业及国有控股企业领导人员进行经济责任审计；</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3、对国家建设项目的预算执行情况和决算进行审计监督；</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4、对政府部门管理的社会团体受政府委托管理的社会保障基金、社会捐赠资金及其他有关基金、资金的财务收支进行审计监督；</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5、对国际组织和外国政府援助、贷款项目的财务收支进行审计监督；</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6、对其他法律、行政法规规定的应当由审计机关进行审计的事项，依照《审计法》和有关法律、行政法规的规定进行审计监督；</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7、对各部门和企业事业单位的内部审计进行业务指导和监督。对依法独立进行社会审计的机构，依照有关法律和国务院的规定进行指导、监督、管理；</w:t>
      </w:r>
    </w:p>
    <w:p>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8、按时完成区政府和上级审计机关安排的各项任务，及时向区政府和上级审计机关报告工作。</w:t>
      </w:r>
    </w:p>
    <w:p>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（二）单位基本信息(机构设置等)</w:t>
      </w:r>
    </w:p>
    <w:p>
      <w:pPr>
        <w:widowControl/>
        <w:shd w:val="clear" w:color="auto" w:fill="FFFFFF"/>
        <w:ind w:firstLine="420" w:firstLine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黄石港区审计局属于行政单位，编制人员4人，实有在编人员4人。</w:t>
      </w:r>
    </w:p>
    <w:p>
      <w:pPr>
        <w:widowControl/>
        <w:shd w:val="clear" w:color="auto" w:fill="FFFFFF"/>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年初实有编制人数4人，现有在职编制人数4人。单位共有9人，其中：在职在编人员4人，政府雇员2人，聘用人员3人。</w:t>
      </w:r>
    </w:p>
    <w:p>
      <w:pPr>
        <w:widowControl/>
        <w:shd w:val="clear" w:color="auto" w:fill="FFFFFF"/>
        <w:ind w:firstLine="270" w:firstLineChars="100"/>
        <w:jc w:val="left"/>
        <w:rPr>
          <w:rFonts w:hint="eastAsia" w:ascii="仿宋_GB2312" w:eastAsia="仿宋_GB2312"/>
          <w:sz w:val="27"/>
          <w:szCs w:val="27"/>
        </w:rPr>
      </w:pPr>
    </w:p>
    <w:p>
      <w:pPr>
        <w:widowControl/>
        <w:shd w:val="clear" w:color="auto" w:fill="FFFFFF"/>
        <w:ind w:firstLine="270" w:firstLineChars="100"/>
        <w:jc w:val="left"/>
        <w:rPr>
          <w:rFonts w:hint="eastAsia" w:ascii="仿宋_GB2312" w:eastAsia="仿宋_GB2312"/>
          <w:sz w:val="27"/>
          <w:szCs w:val="27"/>
        </w:rPr>
      </w:pPr>
    </w:p>
    <w:p>
      <w:pPr>
        <w:widowControl/>
        <w:shd w:val="clear" w:color="auto" w:fill="FFFFFF"/>
        <w:ind w:firstLine="270" w:firstLineChars="100"/>
        <w:jc w:val="left"/>
        <w:rPr>
          <w:rFonts w:hint="eastAsia" w:ascii="仿宋_GB2312" w:eastAsia="仿宋_GB2312"/>
          <w:sz w:val="27"/>
          <w:szCs w:val="27"/>
        </w:rPr>
      </w:pPr>
    </w:p>
    <w:p>
      <w:pPr>
        <w:pStyle w:val="7"/>
        <w:widowControl/>
        <w:numPr>
          <w:ilvl w:val="0"/>
          <w:numId w:val="1"/>
        </w:numPr>
        <w:spacing w:before="76" w:beforeAutospacing="0" w:after="76" w:afterAutospacing="0" w:line="450" w:lineRule="atLeast"/>
        <w:ind w:firstLine="420"/>
        <w:rPr>
          <w:rStyle w:val="9"/>
          <w:rFonts w:hint="eastAsia"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lang w:eastAsia="zh-CN"/>
        </w:rPr>
        <w:t>部门</w:t>
      </w:r>
      <w:r>
        <w:rPr>
          <w:rStyle w:val="9"/>
          <w:rFonts w:hint="eastAsia" w:ascii="微软雅黑" w:hAnsi="微软雅黑" w:eastAsia="微软雅黑" w:cs="微软雅黑"/>
          <w:color w:val="333333"/>
          <w:shd w:val="clear" w:color="auto" w:fill="FFFFFF"/>
        </w:rPr>
        <w:t>2018年部门决算表</w:t>
      </w:r>
    </w:p>
    <w:p>
      <w:pPr>
        <w:pStyle w:val="7"/>
        <w:widowControl/>
        <w:spacing w:before="76" w:beforeAutospacing="0" w:after="76" w:afterAutospacing="0" w:line="450" w:lineRule="atLeast"/>
        <w:jc w:val="both"/>
      </w:pPr>
      <w:r>
        <w:drawing>
          <wp:inline distT="0" distB="0" distL="114300" distR="114300">
            <wp:extent cx="8804910" cy="4665980"/>
            <wp:effectExtent l="0" t="0" r="15240"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tretch>
                      <a:fillRect/>
                    </a:stretch>
                  </pic:blipFill>
                  <pic:spPr>
                    <a:xfrm>
                      <a:off x="0" y="0"/>
                      <a:ext cx="8804910" cy="4665980"/>
                    </a:xfrm>
                    <a:prstGeom prst="rect">
                      <a:avLst/>
                    </a:prstGeom>
                    <a:noFill/>
                    <a:ln>
                      <a:noFill/>
                    </a:ln>
                  </pic:spPr>
                </pic:pic>
              </a:graphicData>
            </a:graphic>
          </wp:inline>
        </w:drawing>
      </w:r>
    </w:p>
    <w:p>
      <w:pPr>
        <w:pStyle w:val="7"/>
        <w:widowControl/>
        <w:spacing w:before="76" w:beforeAutospacing="0" w:after="76" w:afterAutospacing="0" w:line="450" w:lineRule="atLeast"/>
        <w:jc w:val="both"/>
      </w:pPr>
      <w:r>
        <w:drawing>
          <wp:inline distT="0" distB="0" distL="0" distR="0">
            <wp:extent cx="8699500" cy="2633345"/>
            <wp:effectExtent l="0" t="0" r="635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1719" t="2377" r="1505" b="3736"/>
                    <a:stretch>
                      <a:fillRect/>
                    </a:stretch>
                  </pic:blipFill>
                  <pic:spPr>
                    <a:xfrm>
                      <a:off x="0" y="0"/>
                      <a:ext cx="8699500" cy="2633345"/>
                    </a:xfrm>
                    <a:prstGeom prst="rect">
                      <a:avLst/>
                    </a:prstGeom>
                  </pic:spPr>
                </pic:pic>
              </a:graphicData>
            </a:graphic>
          </wp:inline>
        </w:drawing>
      </w:r>
      <w:r>
        <w:drawing>
          <wp:inline distT="0" distB="0" distL="0" distR="0">
            <wp:extent cx="8698230" cy="2319655"/>
            <wp:effectExtent l="0" t="0" r="762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l="2042" t="1535" r="967" b="4990"/>
                    <a:stretch>
                      <a:fillRect/>
                    </a:stretch>
                  </pic:blipFill>
                  <pic:spPr>
                    <a:xfrm>
                      <a:off x="0" y="0"/>
                      <a:ext cx="8698230" cy="2319655"/>
                    </a:xfrm>
                    <a:prstGeom prst="rect">
                      <a:avLst/>
                    </a:prstGeom>
                  </pic:spPr>
                </pic:pic>
              </a:graphicData>
            </a:graphic>
          </wp:inline>
        </w:drawing>
      </w:r>
      <w:r>
        <w:drawing>
          <wp:inline distT="0" distB="0" distL="114300" distR="114300">
            <wp:extent cx="8797925" cy="5370195"/>
            <wp:effectExtent l="0" t="0" r="3175"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8797925" cy="5370195"/>
                    </a:xfrm>
                    <a:prstGeom prst="rect">
                      <a:avLst/>
                    </a:prstGeom>
                    <a:noFill/>
                    <a:ln>
                      <a:noFill/>
                    </a:ln>
                  </pic:spPr>
                </pic:pic>
              </a:graphicData>
            </a:graphic>
          </wp:inline>
        </w:drawing>
      </w:r>
    </w:p>
    <w:p>
      <w:pPr>
        <w:pStyle w:val="7"/>
        <w:widowControl/>
        <w:spacing w:before="76" w:beforeAutospacing="0" w:after="76" w:afterAutospacing="0" w:line="450" w:lineRule="atLeast"/>
        <w:rPr>
          <w:color w:val="333333"/>
        </w:rPr>
      </w:pPr>
      <w:r>
        <w:drawing>
          <wp:inline distT="0" distB="0" distL="0" distR="0">
            <wp:extent cx="8867775" cy="3778885"/>
            <wp:effectExtent l="0" t="0" r="952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l="2453" t="3119" r="3037" b="2599"/>
                    <a:stretch>
                      <a:fillRect/>
                    </a:stretch>
                  </pic:blipFill>
                  <pic:spPr>
                    <a:xfrm>
                      <a:off x="0" y="0"/>
                      <a:ext cx="8867775" cy="3778885"/>
                    </a:xfrm>
                    <a:prstGeom prst="rect">
                      <a:avLst/>
                    </a:prstGeom>
                  </pic:spPr>
                </pic:pic>
              </a:graphicData>
            </a:graphic>
          </wp:inline>
        </w:drawing>
      </w:r>
    </w:p>
    <w:p>
      <w:pPr>
        <w:pStyle w:val="7"/>
        <w:widowControl/>
        <w:spacing w:before="76" w:beforeAutospacing="0" w:after="76" w:afterAutospacing="0" w:line="450" w:lineRule="atLeast"/>
        <w:ind w:firstLine="420"/>
        <w:rPr>
          <w:color w:val="333333"/>
        </w:rPr>
      </w:pPr>
    </w:p>
    <w:p>
      <w:pPr>
        <w:pStyle w:val="7"/>
        <w:widowControl/>
        <w:spacing w:before="76" w:beforeAutospacing="0" w:after="76" w:afterAutospacing="0" w:line="450" w:lineRule="atLeast"/>
        <w:ind w:firstLine="420"/>
      </w:pPr>
    </w:p>
    <w:p>
      <w:pPr>
        <w:pStyle w:val="7"/>
        <w:widowControl/>
        <w:spacing w:before="76" w:beforeAutospacing="0" w:after="76" w:afterAutospacing="0" w:line="450" w:lineRule="atLeast"/>
      </w:pPr>
      <w:r>
        <w:drawing>
          <wp:inline distT="0" distB="0" distL="114300" distR="114300">
            <wp:extent cx="8772525" cy="5187950"/>
            <wp:effectExtent l="0" t="0" r="9525" b="1270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8772525" cy="5187950"/>
                    </a:xfrm>
                    <a:prstGeom prst="rect">
                      <a:avLst/>
                    </a:prstGeom>
                    <a:noFill/>
                    <a:ln>
                      <a:noFill/>
                    </a:ln>
                  </pic:spPr>
                </pic:pic>
              </a:graphicData>
            </a:graphic>
          </wp:inline>
        </w:drawing>
      </w:r>
    </w:p>
    <w:p>
      <w:pPr>
        <w:pStyle w:val="7"/>
        <w:widowControl/>
        <w:spacing w:before="76" w:beforeAutospacing="0" w:after="76" w:afterAutospacing="0" w:line="450" w:lineRule="atLeast"/>
        <w:rPr>
          <w:color w:val="333333"/>
        </w:rPr>
      </w:pPr>
      <w:r>
        <w:drawing>
          <wp:inline distT="0" distB="0" distL="0" distR="0">
            <wp:extent cx="8700770" cy="2045335"/>
            <wp:effectExtent l="0" t="0" r="508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rcRect l="1290" t="2085" r="1719" b="2606"/>
                    <a:stretch>
                      <a:fillRect/>
                    </a:stretch>
                  </pic:blipFill>
                  <pic:spPr>
                    <a:xfrm>
                      <a:off x="0" y="0"/>
                      <a:ext cx="8700770" cy="2045335"/>
                    </a:xfrm>
                    <a:prstGeom prst="rect">
                      <a:avLst/>
                    </a:prstGeom>
                  </pic:spPr>
                </pic:pic>
              </a:graphicData>
            </a:graphic>
          </wp:inline>
        </w:drawing>
      </w:r>
    </w:p>
    <w:p>
      <w:pPr>
        <w:pStyle w:val="7"/>
        <w:widowControl/>
        <w:spacing w:before="76" w:beforeAutospacing="0" w:after="76" w:afterAutospacing="0" w:line="450" w:lineRule="atLeast"/>
        <w:ind w:firstLine="420"/>
        <w:rPr>
          <w:color w:val="333333"/>
        </w:rPr>
      </w:pPr>
    </w:p>
    <w:p>
      <w:pPr>
        <w:pStyle w:val="7"/>
        <w:widowControl/>
        <w:spacing w:before="76" w:beforeAutospacing="0" w:after="76" w:afterAutospacing="0" w:line="450" w:lineRule="atLeast"/>
        <w:rPr>
          <w:color w:val="333333"/>
        </w:rPr>
        <w:sectPr>
          <w:pgSz w:w="16838" w:h="11906" w:orient="landscape"/>
          <w:pgMar w:top="1800" w:right="1440" w:bottom="1800" w:left="1440" w:header="851" w:footer="992" w:gutter="0"/>
          <w:cols w:space="425" w:num="1"/>
          <w:docGrid w:type="lines" w:linePitch="312" w:charSpace="0"/>
        </w:sectPr>
      </w:pPr>
      <w:r>
        <w:drawing>
          <wp:inline distT="0" distB="0" distL="0" distR="0">
            <wp:extent cx="8780780" cy="232410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rcRect l="1823" r="912" b="2400"/>
                    <a:stretch>
                      <a:fillRect/>
                    </a:stretch>
                  </pic:blipFill>
                  <pic:spPr>
                    <a:xfrm>
                      <a:off x="0" y="0"/>
                      <a:ext cx="8780780" cy="2324100"/>
                    </a:xfrm>
                    <a:prstGeom prst="rect">
                      <a:avLst/>
                    </a:prstGeom>
                  </pic:spPr>
                </pic:pic>
              </a:graphicData>
            </a:graphic>
          </wp:inline>
        </w:drawing>
      </w:r>
    </w:p>
    <w:p>
      <w:pPr>
        <w:pStyle w:val="7"/>
        <w:widowControl/>
        <w:spacing w:before="76" w:beforeAutospacing="0" w:after="76" w:afterAutospacing="0" w:line="450" w:lineRule="atLeast"/>
        <w:rPr>
          <w:rStyle w:val="9"/>
          <w:rFonts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rPr>
        <w:t>第三部分 2018年部门决算情况说明</w:t>
      </w:r>
    </w:p>
    <w:p>
      <w:pPr>
        <w:pStyle w:val="4"/>
        <w:autoSpaceDE w:val="0"/>
        <w:spacing w:line="560" w:lineRule="exact"/>
        <w:ind w:left="420" w:leftChars="200" w:firstLine="143" w:firstLineChars="50"/>
        <w:rPr>
          <w:rFonts w:hint="eastAsia" w:asciiTheme="minorEastAsia" w:hAnsiTheme="minorEastAsia" w:eastAsia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lang w:eastAsia="zh-CN"/>
        </w:rPr>
        <w:t>（一）</w:t>
      </w:r>
      <w:r>
        <w:rPr>
          <w:rFonts w:hint="eastAsia" w:asciiTheme="minorEastAsia" w:hAnsiTheme="minorEastAsia" w:eastAsiaTheme="minorEastAsia" w:cstheme="minorEastAsia"/>
          <w:b/>
          <w:bCs/>
          <w:color w:val="000000"/>
          <w:spacing w:val="2"/>
          <w:sz w:val="28"/>
          <w:szCs w:val="28"/>
        </w:rPr>
        <w:t>收入与支出预算执行情况分析</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2018年财政收入预算数733117元，其中人员经费577868元，公用经费155249元, 2018年财政支出预算数733117元，其中人员经费577868元，公用经费155249元, 2017年财政收入预算数682,272.98元，其中人员经费533,440.00元，公用经费148,832.98元, 2017年财政支出预算数682,272.98元，其中人员经费533,440.00元，公用经费148,832.98元， 2018年收入预算数安排比上年增加50844.02元， 2018年支出预算数安排比上年增加50844.02元。</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1、收入支出与预算对比分析</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2018年全年总收入1326932.94元,其中财拨款决算收入1063733.03元,其它收入263199.91元, 2018年全年决算总支出1326932.94元,其中财拨款决算支出1063733.03元,其它资金支出263199.91元,2018年财政预算数733117元，财拔决算比预算多593815.94元,幅度为81%,原因为业务增加。</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2、收入支出结构分析</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2018年全年总收入1326932.94元,其中财拨款决算收入1063733.03元,其它收入263199.91元</w:t>
      </w:r>
      <w:r>
        <w:rPr>
          <w:rFonts w:hint="eastAsia" w:asciiTheme="minorEastAsia" w:hAnsiTheme="minorEastAsia" w:cstheme="minorEastAsia"/>
          <w:color w:val="000000"/>
          <w:spacing w:val="2"/>
          <w:kern w:val="2"/>
          <w:sz w:val="28"/>
          <w:szCs w:val="28"/>
          <w:lang w:val="en-US" w:eastAsia="zh-CN" w:bidi="ar-SA"/>
        </w:rPr>
        <w:t>；</w:t>
      </w:r>
      <w:r>
        <w:rPr>
          <w:rFonts w:hint="eastAsia" w:asciiTheme="minorEastAsia" w:hAnsiTheme="minorEastAsia" w:eastAsiaTheme="minorEastAsia" w:cstheme="minorEastAsia"/>
          <w:color w:val="000000"/>
          <w:spacing w:val="2"/>
          <w:kern w:val="2"/>
          <w:sz w:val="28"/>
          <w:szCs w:val="28"/>
          <w:lang w:val="en-US" w:eastAsia="zh-CN" w:bidi="ar-SA"/>
        </w:rPr>
        <w:t>2018年全年总支出1326932.94元，其中财拨款决算总支出1063733.03元，其它资金支出263199.91元。</w:t>
      </w:r>
    </w:p>
    <w:p>
      <w:pPr>
        <w:pStyle w:val="7"/>
        <w:widowControl/>
        <w:spacing w:before="100" w:after="100"/>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3、支出按经济分类科目分析</w:t>
      </w:r>
    </w:p>
    <w:p>
      <w:pPr>
        <w:pStyle w:val="7"/>
        <w:widowControl/>
        <w:spacing w:before="100" w:after="100"/>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2018年全年总支出1326932.94元，其中工资福利支出 735660.89元，商品服务支出579930.05元，对个人和家庭的补助支出11342元。</w:t>
      </w:r>
    </w:p>
    <w:p>
      <w:pPr>
        <w:pStyle w:val="7"/>
        <w:widowControl/>
        <w:spacing w:before="76" w:after="76"/>
        <w:ind w:firstLine="420"/>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（二）关于“三公”经费支出说明</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本年度无三公经费支出。</w:t>
      </w:r>
    </w:p>
    <w:p>
      <w:pPr>
        <w:pStyle w:val="7"/>
        <w:widowControl/>
        <w:spacing w:before="76" w:after="76"/>
        <w:ind w:firstLine="420"/>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（三）关于机关运行经费支出说明</w:t>
      </w:r>
    </w:p>
    <w:p>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8" w:firstLineChars="200"/>
        <w:textAlignment w:val="auto"/>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2018年机关运行经费支出397910.15元, 2017年机关运行经费支出428760.96元,同比上年增减-30850.81元，同比上年增减-7.2%，黄石港区审计局加强内部管理，压缩经费开支。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40" w:firstLineChars="200"/>
        <w:textAlignment w:val="auto"/>
        <w:rPr>
          <w:rFonts w:hint="eastAsia" w:ascii="仿宋_GB2312" w:eastAsia="仿宋_GB2312" w:hAnsiTheme="minorHAnsi" w:cstheme="minorBidi"/>
          <w:kern w:val="2"/>
          <w:sz w:val="27"/>
          <w:szCs w:val="27"/>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（四）关于政府采购支出说明</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2018年政府采购总支出6850元，其中政府采购货物支出6850元，政府采购工程支出0，政府采购服务支出0元。</w:t>
      </w:r>
    </w:p>
    <w:p>
      <w:pPr>
        <w:pStyle w:val="7"/>
        <w:widowControl/>
        <w:spacing w:before="76" w:after="76" w:line="450" w:lineRule="atLeast"/>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（五）关于国有资产占用情况说明</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截至2018年12月31日，本单位共有车辆0辆，其中领导干部用车0辆，一般公务用车0辆，一般执法执勤用车0辆，特种专业技术用车0辆，其它用车0辆。2017年12月31日，本单位共有车辆0辆，其中领导干部用车0辆，一般公务用车0辆，一般执法执勤用车0辆，特种专业技术用车0辆，其它用车0辆。2018年与2017年对比没有增减变化。</w:t>
      </w:r>
    </w:p>
    <w:p>
      <w:pPr>
        <w:spacing w:line="560" w:lineRule="exact"/>
        <w:ind w:firstLine="285" w:firstLineChars="100"/>
        <w:rPr>
          <w:rFonts w:hint="eastAsia" w:asciiTheme="minorEastAsia" w:hAnsiTheme="minorEastAsia" w:eastAsiaTheme="minorEastAsia" w:cstheme="minorEastAsia"/>
          <w:b/>
          <w:bCs/>
          <w:color w:val="000000"/>
          <w:spacing w:val="2"/>
          <w:sz w:val="28"/>
          <w:szCs w:val="28"/>
          <w:lang w:val="en-US" w:eastAsia="zh-CN"/>
        </w:rPr>
      </w:pPr>
      <w:r>
        <w:rPr>
          <w:rFonts w:hint="eastAsia" w:asciiTheme="minorEastAsia" w:hAnsiTheme="minorEastAsia" w:eastAsiaTheme="minorEastAsia" w:cstheme="minorEastAsia"/>
          <w:b/>
          <w:bCs/>
          <w:color w:val="000000"/>
          <w:spacing w:val="2"/>
          <w:sz w:val="28"/>
          <w:szCs w:val="28"/>
          <w:lang w:val="en-US" w:eastAsia="zh-CN"/>
        </w:rPr>
        <w:t>（六）重点绩效评价结果等预算绩效情况说明</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 根据预算绩效管理要求，我单位组织2018年度一般公共预算项目支出全面开展绩效自评，共涉及项目</w:t>
      </w:r>
      <w:r>
        <w:rPr>
          <w:rFonts w:hint="eastAsia" w:asciiTheme="minorEastAsia" w:hAnsiTheme="minorEastAsia" w:cstheme="minorEastAsia"/>
          <w:color w:val="000000"/>
          <w:spacing w:val="2"/>
          <w:kern w:val="2"/>
          <w:sz w:val="28"/>
          <w:szCs w:val="28"/>
          <w:lang w:val="en-US" w:eastAsia="zh-CN" w:bidi="ar-SA"/>
        </w:rPr>
        <w:t>3</w:t>
      </w:r>
      <w:r>
        <w:rPr>
          <w:rFonts w:hint="eastAsia" w:asciiTheme="minorEastAsia" w:hAnsiTheme="minorEastAsia" w:eastAsiaTheme="minorEastAsia" w:cstheme="minorEastAsia"/>
          <w:color w:val="000000"/>
          <w:spacing w:val="2"/>
          <w:kern w:val="2"/>
          <w:sz w:val="28"/>
          <w:szCs w:val="28"/>
          <w:lang w:val="en-US" w:eastAsia="zh-CN" w:bidi="ar-SA"/>
        </w:rPr>
        <w:t>个，资金</w:t>
      </w:r>
      <w:r>
        <w:rPr>
          <w:rFonts w:hint="eastAsia" w:asciiTheme="minorEastAsia" w:hAnsiTheme="minorEastAsia" w:cstheme="minorEastAsia"/>
          <w:color w:val="000000"/>
          <w:spacing w:val="2"/>
          <w:kern w:val="2"/>
          <w:sz w:val="28"/>
          <w:szCs w:val="28"/>
          <w:lang w:val="en-US" w:eastAsia="zh-CN" w:bidi="ar-SA"/>
        </w:rPr>
        <w:t>7</w:t>
      </w:r>
      <w:r>
        <w:rPr>
          <w:rFonts w:hint="eastAsia" w:asciiTheme="minorEastAsia" w:hAnsiTheme="minorEastAsia" w:eastAsiaTheme="minorEastAsia" w:cstheme="minorEastAsia"/>
          <w:color w:val="000000"/>
          <w:spacing w:val="2"/>
          <w:kern w:val="2"/>
          <w:sz w:val="28"/>
          <w:szCs w:val="28"/>
          <w:lang w:val="en-US" w:eastAsia="zh-CN" w:bidi="ar-SA"/>
        </w:rPr>
        <w:t>万元。 2018年项目资金投入</w:t>
      </w:r>
      <w:r>
        <w:rPr>
          <w:rFonts w:hint="eastAsia" w:asciiTheme="minorEastAsia" w:hAnsiTheme="minorEastAsia" w:cstheme="minorEastAsia"/>
          <w:color w:val="000000"/>
          <w:spacing w:val="2"/>
          <w:kern w:val="2"/>
          <w:sz w:val="28"/>
          <w:szCs w:val="28"/>
          <w:lang w:val="en-US" w:eastAsia="zh-CN" w:bidi="ar-SA"/>
        </w:rPr>
        <w:t>7</w:t>
      </w:r>
      <w:r>
        <w:rPr>
          <w:rFonts w:hint="eastAsia" w:asciiTheme="minorEastAsia" w:hAnsiTheme="minorEastAsia" w:eastAsiaTheme="minorEastAsia" w:cstheme="minorEastAsia"/>
          <w:color w:val="000000"/>
          <w:spacing w:val="2"/>
          <w:kern w:val="2"/>
          <w:sz w:val="28"/>
          <w:szCs w:val="28"/>
          <w:lang w:val="en-US" w:eastAsia="zh-CN" w:bidi="ar-SA"/>
        </w:rPr>
        <w:t>万元，已使用</w:t>
      </w:r>
      <w:r>
        <w:rPr>
          <w:rFonts w:hint="eastAsia" w:asciiTheme="minorEastAsia" w:hAnsiTheme="minorEastAsia" w:cstheme="minorEastAsia"/>
          <w:color w:val="000000"/>
          <w:spacing w:val="2"/>
          <w:kern w:val="2"/>
          <w:sz w:val="28"/>
          <w:szCs w:val="28"/>
          <w:lang w:val="en-US" w:eastAsia="zh-CN" w:bidi="ar-SA"/>
        </w:rPr>
        <w:t>7</w:t>
      </w:r>
      <w:r>
        <w:rPr>
          <w:rFonts w:hint="eastAsia" w:asciiTheme="minorEastAsia" w:hAnsiTheme="minorEastAsia" w:eastAsiaTheme="minorEastAsia" w:cstheme="minorEastAsia"/>
          <w:color w:val="000000"/>
          <w:spacing w:val="2"/>
          <w:kern w:val="2"/>
          <w:sz w:val="28"/>
          <w:szCs w:val="28"/>
          <w:lang w:val="en-US" w:eastAsia="zh-CN" w:bidi="ar-SA"/>
        </w:rPr>
        <w:t>万元，使用率100%。使用从评价结果看，项目立项程序完整、规范，预算执行及时、有效，绩效目标得到较好实现，绩效管理水平不断提高，绩效指标体系建设逐渐丰富和完善。</w:t>
      </w:r>
    </w:p>
    <w:p>
      <w:pPr>
        <w:pStyle w:val="7"/>
        <w:widowControl/>
        <w:numPr>
          <w:ilvl w:val="0"/>
          <w:numId w:val="2"/>
        </w:numPr>
        <w:spacing w:before="76" w:beforeAutospacing="0" w:after="76" w:afterAutospacing="0" w:line="450" w:lineRule="atLeast"/>
        <w:rPr>
          <w:rStyle w:val="9"/>
          <w:rFonts w:hint="eastAsia"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rPr>
        <w:t>名词解释</w:t>
      </w:r>
      <w:bookmarkStart w:id="0" w:name="_GoBack"/>
      <w:bookmarkEnd w:id="0"/>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（一）财政拨款（补助）：指省级财政当年拨付的资金。</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（二）事业收入：指事业单位开展专业业务活动及其辅助活动取得的收入。 </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（三）其他收入：指预算单位在“财政拨款补助收入”、“事业收入”、“经营收入”以外取得的收入。 </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（四）上年结转：指以前年度尚未完成、结转到本年仍按原规定用途继续使用的资金。 </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（五）基本支出：指为保障机构正常运转、完成日常工作任务而发生的人员支出和公用支出。 </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（六）项目支出：指为完成特定的行政工作任务或事业发展目标，在基本支出之外发生的各项支出。</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2CFDD"/>
    <w:multiLevelType w:val="singleLevel"/>
    <w:tmpl w:val="F952CFDD"/>
    <w:lvl w:ilvl="0" w:tentative="0">
      <w:start w:val="4"/>
      <w:numFmt w:val="chineseCounting"/>
      <w:suff w:val="space"/>
      <w:lvlText w:val="第%1部分"/>
      <w:lvlJc w:val="left"/>
      <w:rPr>
        <w:rFonts w:hint="eastAsia"/>
      </w:rPr>
    </w:lvl>
  </w:abstractNum>
  <w:abstractNum w:abstractNumId="1">
    <w:nsid w:val="09AF1E14"/>
    <w:multiLevelType w:val="singleLevel"/>
    <w:tmpl w:val="09AF1E1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7A"/>
    <w:rsid w:val="00642604"/>
    <w:rsid w:val="007E2FA0"/>
    <w:rsid w:val="00A1757A"/>
    <w:rsid w:val="00C15F75"/>
    <w:rsid w:val="00C34D8B"/>
    <w:rsid w:val="00F72D5F"/>
    <w:rsid w:val="0664587B"/>
    <w:rsid w:val="09FF39B4"/>
    <w:rsid w:val="0C8D5151"/>
    <w:rsid w:val="10157CA5"/>
    <w:rsid w:val="11411182"/>
    <w:rsid w:val="12E71789"/>
    <w:rsid w:val="1A3D2E8C"/>
    <w:rsid w:val="1B6B7B26"/>
    <w:rsid w:val="219E41B4"/>
    <w:rsid w:val="255E033E"/>
    <w:rsid w:val="27390172"/>
    <w:rsid w:val="2CCE2491"/>
    <w:rsid w:val="2F081AB6"/>
    <w:rsid w:val="325E7C3C"/>
    <w:rsid w:val="3926392F"/>
    <w:rsid w:val="401A2F36"/>
    <w:rsid w:val="457D21A1"/>
    <w:rsid w:val="507C1CF5"/>
    <w:rsid w:val="57193076"/>
    <w:rsid w:val="621B3808"/>
    <w:rsid w:val="67E4782B"/>
    <w:rsid w:val="746766E2"/>
    <w:rsid w:val="74EA7B66"/>
    <w:rsid w:val="7818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8"/>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3"/>
    <w:basedOn w:val="8"/>
    <w:qFormat/>
    <w:uiPriority w:val="0"/>
  </w:style>
  <w:style w:type="character" w:customStyle="1" w:styleId="15">
    <w:name w:val="页眉 Char"/>
    <w:basedOn w:val="8"/>
    <w:link w:val="6"/>
    <w:qFormat/>
    <w:uiPriority w:val="0"/>
    <w:rPr>
      <w:rFonts w:asciiTheme="minorHAnsi" w:hAnsiTheme="minorHAnsi" w:eastAsiaTheme="minorEastAsia" w:cstheme="minorBidi"/>
      <w:kern w:val="2"/>
      <w:sz w:val="18"/>
      <w:szCs w:val="18"/>
    </w:rPr>
  </w:style>
  <w:style w:type="character" w:customStyle="1" w:styleId="16">
    <w:name w:val="页脚 Char"/>
    <w:basedOn w:val="8"/>
    <w:link w:val="5"/>
    <w:qFormat/>
    <w:uiPriority w:val="0"/>
    <w:rPr>
      <w:rFonts w:asciiTheme="minorHAnsi" w:hAnsiTheme="minorHAnsi" w:eastAsiaTheme="minorEastAsia" w:cstheme="minorBidi"/>
      <w:kern w:val="2"/>
      <w:sz w:val="18"/>
      <w:szCs w:val="18"/>
    </w:rPr>
  </w:style>
  <w:style w:type="paragraph" w:customStyle="1" w:styleId="1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QQ</Company>
  <Pages>14</Pages>
  <Words>356</Words>
  <Characters>2031</Characters>
  <Lines>16</Lines>
  <Paragraphs>4</Paragraphs>
  <TotalTime>2</TotalTime>
  <ScaleCrop>false</ScaleCrop>
  <LinksUpToDate>false</LinksUpToDate>
  <CharactersWithSpaces>2383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Administrator</cp:lastModifiedBy>
  <dcterms:modified xsi:type="dcterms:W3CDTF">2021-05-26T03:02:14Z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