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4EAD0">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审计局2018年决算公开</w:t>
      </w:r>
    </w:p>
    <w:bookmarkEnd w:id="0"/>
    <w:p w14:paraId="5C66F1F6">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黄石港区审计局2018年决算公开</w:t>
      </w:r>
    </w:p>
    <w:p w14:paraId="75F0ECED">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2A17B426">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第一部分:部门基本情况</w:t>
      </w:r>
    </w:p>
    <w:p w14:paraId="6E07F98A">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28E0DA68">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36C9B7D8">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第二部分: 部门2018年部门决算表</w:t>
      </w:r>
    </w:p>
    <w:p w14:paraId="26BA3C29">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4B0E6A5B">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298C195B">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4B68BEF3">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34C9BD5C">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6EE3C594">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1ADC36B2">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七、一般公共预算财政拨款“三公”经费支出决算表（表7）</w:t>
      </w:r>
    </w:p>
    <w:p w14:paraId="51CE0546">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八、政府性基金预算财政拨款收入支出决算表（8）</w:t>
      </w:r>
    </w:p>
    <w:p w14:paraId="7141120F">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第三部分：部门2018年部门决算情况说明</w:t>
      </w:r>
    </w:p>
    <w:p w14:paraId="44DE4040">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616ECD14">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4A4C9666">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51BFFC99">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4B08B4ED">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6126582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725195B0">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第四部分：名词解释 </w:t>
      </w:r>
    </w:p>
    <w:p w14:paraId="130F3F68">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14:paraId="11754CA2">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2018年部门决算</w:t>
      </w:r>
    </w:p>
    <w:p w14:paraId="4FE75D21">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 部门概况</w:t>
      </w:r>
    </w:p>
    <w:p w14:paraId="5323C055">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rPr>
        <w:t>（</w:t>
      </w:r>
      <w:r>
        <w:rPr>
          <w:rFonts w:hint="eastAsia" w:asciiTheme="minorEastAsia" w:hAnsiTheme="minorEastAsia" w:eastAsiaTheme="minorEastAsia" w:cstheme="minorEastAsia"/>
          <w:sz w:val="28"/>
          <w:szCs w:val="28"/>
        </w:rPr>
        <w:t>一）主要职责</w:t>
      </w:r>
    </w:p>
    <w:p w14:paraId="60A42D14">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黄石港区审计局系区政府对本级财政及其所属行政机关、企事业财务收支进行审计监督的职能部门，维护全区财政经济秩序，提高财政资金使用效益，促进廉政建设，保障全区国民经济和社会健康发展。</w:t>
      </w:r>
    </w:p>
    <w:p w14:paraId="232B5281">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审计局业务管理职能是：</w:t>
      </w:r>
    </w:p>
    <w:p w14:paraId="1BCC7FF2">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1、对本级预算执行情况、本级各部门和下级政府（街道办事处）预算执行和决算，以及预算外资金的管理和使用情况进行审计监督；</w:t>
      </w:r>
    </w:p>
    <w:p w14:paraId="52871C52">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2、对区直事业单位的财务收支进行审计监督；对区直各部门行政领导干部、国有企业及国有控股企业领导人员进行经济责任审计；</w:t>
      </w:r>
    </w:p>
    <w:p w14:paraId="43E765FB">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3、对国家建设项目的预算执行情况和决算进行审计监督；</w:t>
      </w:r>
    </w:p>
    <w:p w14:paraId="720A8FEC">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4、对政府部门管理的社会团体受政府委托管理的社会保障基金、社会捐赠资金及其他有关基金、资金的财务收支进行审计监督；</w:t>
      </w:r>
    </w:p>
    <w:p w14:paraId="48CFFCEA">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5、对国际组织和外国政府援助、贷款项目的财务收支进行审计监督；</w:t>
      </w:r>
    </w:p>
    <w:p w14:paraId="43FED188">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6、对其他法律、行政法规规定的应当由审计机关进行审计的事项，依照《审计法》和有关法律、行政法规的规定进行审计监督；</w:t>
      </w:r>
    </w:p>
    <w:p w14:paraId="60E1B6C7">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7、对各部门和企业事业单位的内部审计进行业务指导和监督。对依法独立进行社会审计的机构，依照有关法律和国务院的规定进行指导、监督、管理；</w:t>
      </w:r>
    </w:p>
    <w:p w14:paraId="0B5C5510">
      <w:pPr>
        <w:widowControl/>
        <w:shd w:val="clear" w:color="auto" w:fill="FFFFFF"/>
        <w:ind w:firstLine="468"/>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8、按时完成区政府和上级审计机关安排的各项任务，及时向区政府和上级审计机关报告工作。</w:t>
      </w:r>
    </w:p>
    <w:p w14:paraId="047E4298">
      <w:pPr>
        <w:widowControl/>
        <w:shd w:val="clear" w:color="auto" w:fill="FFFFFF"/>
        <w:ind w:firstLine="48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（二）单位基本信息(机构设置等)</w:t>
      </w:r>
    </w:p>
    <w:p w14:paraId="7999E076">
      <w:pPr>
        <w:widowControl/>
        <w:shd w:val="clear" w:color="auto" w:fill="FFFFFF"/>
        <w:ind w:firstLine="420" w:firstLineChars="1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黄石港区审计局属于行政单位，编制人员4人，实有在编人员4人。</w:t>
      </w:r>
    </w:p>
    <w:p w14:paraId="7AF0A496">
      <w:pPr>
        <w:widowControl/>
        <w:shd w:val="clear" w:color="auto" w:fill="FFFFFF"/>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年初实有编制人数4人，现有在职编制人数4人。单位共有9人，其中：在职在编人员4人，政府雇员2人，聘用人员3人。</w:t>
      </w:r>
    </w:p>
    <w:p w14:paraId="25516B94">
      <w:pPr>
        <w:widowControl/>
        <w:shd w:val="clear" w:color="auto" w:fill="FFFFFF"/>
        <w:ind w:firstLine="270" w:firstLineChars="100"/>
        <w:jc w:val="left"/>
        <w:rPr>
          <w:rFonts w:hint="eastAsia" w:ascii="仿宋_GB2312" w:eastAsia="仿宋_GB2312"/>
          <w:sz w:val="27"/>
          <w:szCs w:val="27"/>
        </w:rPr>
      </w:pPr>
    </w:p>
    <w:p w14:paraId="4B577DDA">
      <w:pPr>
        <w:widowControl/>
        <w:shd w:val="clear" w:color="auto" w:fill="FFFFFF"/>
        <w:ind w:firstLine="270" w:firstLineChars="100"/>
        <w:jc w:val="left"/>
        <w:rPr>
          <w:rFonts w:hint="eastAsia" w:ascii="仿宋_GB2312" w:eastAsia="仿宋_GB2312"/>
          <w:sz w:val="27"/>
          <w:szCs w:val="27"/>
        </w:rPr>
      </w:pPr>
    </w:p>
    <w:p w14:paraId="4462DCD4">
      <w:pPr>
        <w:widowControl/>
        <w:shd w:val="clear" w:color="auto" w:fill="FFFFFF"/>
        <w:ind w:firstLine="270" w:firstLineChars="100"/>
        <w:jc w:val="left"/>
        <w:rPr>
          <w:rFonts w:hint="eastAsia" w:ascii="仿宋_GB2312" w:eastAsia="仿宋_GB2312"/>
          <w:sz w:val="27"/>
          <w:szCs w:val="27"/>
        </w:rPr>
      </w:pPr>
    </w:p>
    <w:p w14:paraId="3C0C81BF">
      <w:pPr>
        <w:pStyle w:val="7"/>
        <w:widowControl/>
        <w:numPr>
          <w:ilvl w:val="0"/>
          <w:numId w:val="1"/>
        </w:numPr>
        <w:spacing w:before="76" w:beforeAutospacing="0" w:after="76" w:afterAutospacing="0" w:line="450" w:lineRule="atLeast"/>
        <w:ind w:firstLine="420"/>
        <w:rPr>
          <w:rStyle w:val="10"/>
          <w:rFonts w:hint="eastAsia"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lang w:eastAsia="zh-CN"/>
        </w:rPr>
        <w:t>部门</w:t>
      </w:r>
      <w:r>
        <w:rPr>
          <w:rStyle w:val="10"/>
          <w:rFonts w:hint="eastAsia" w:ascii="微软雅黑" w:hAnsi="微软雅黑" w:eastAsia="微软雅黑" w:cs="微软雅黑"/>
          <w:color w:val="333333"/>
          <w:shd w:val="clear" w:color="auto" w:fill="FFFFFF"/>
        </w:rPr>
        <w:t>2018年部门决算表</w:t>
      </w:r>
    </w:p>
    <w:p w14:paraId="388C1BB4">
      <w:pPr>
        <w:pStyle w:val="7"/>
        <w:widowControl/>
        <w:spacing w:before="76" w:beforeAutospacing="0" w:after="76" w:afterAutospacing="0" w:line="450" w:lineRule="atLeast"/>
        <w:jc w:val="both"/>
      </w:pPr>
      <w:r>
        <w:drawing>
          <wp:inline distT="0" distB="0" distL="114300" distR="114300">
            <wp:extent cx="8804910" cy="4665980"/>
            <wp:effectExtent l="0" t="0" r="15240"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4"/>
                    <a:stretch>
                      <a:fillRect/>
                    </a:stretch>
                  </pic:blipFill>
                  <pic:spPr>
                    <a:xfrm>
                      <a:off x="0" y="0"/>
                      <a:ext cx="8804910" cy="4665980"/>
                    </a:xfrm>
                    <a:prstGeom prst="rect">
                      <a:avLst/>
                    </a:prstGeom>
                    <a:noFill/>
                    <a:ln>
                      <a:noFill/>
                    </a:ln>
                  </pic:spPr>
                </pic:pic>
              </a:graphicData>
            </a:graphic>
          </wp:inline>
        </w:drawing>
      </w:r>
    </w:p>
    <w:p w14:paraId="0E7567D9">
      <w:pPr>
        <w:pStyle w:val="7"/>
        <w:widowControl/>
        <w:spacing w:before="76" w:beforeAutospacing="0" w:after="76" w:afterAutospacing="0" w:line="450" w:lineRule="atLeast"/>
        <w:jc w:val="both"/>
      </w:pPr>
      <w:r>
        <w:drawing>
          <wp:inline distT="0" distB="0" distL="0" distR="0">
            <wp:extent cx="8699500" cy="2633345"/>
            <wp:effectExtent l="0" t="0" r="635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l="1719" t="2377" r="1505" b="3736"/>
                    <a:stretch>
                      <a:fillRect/>
                    </a:stretch>
                  </pic:blipFill>
                  <pic:spPr>
                    <a:xfrm>
                      <a:off x="0" y="0"/>
                      <a:ext cx="8699500" cy="2633345"/>
                    </a:xfrm>
                    <a:prstGeom prst="rect">
                      <a:avLst/>
                    </a:prstGeom>
                  </pic:spPr>
                </pic:pic>
              </a:graphicData>
            </a:graphic>
          </wp:inline>
        </w:drawing>
      </w:r>
      <w:r>
        <w:drawing>
          <wp:inline distT="0" distB="0" distL="0" distR="0">
            <wp:extent cx="8698230" cy="2319655"/>
            <wp:effectExtent l="0" t="0" r="762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l="2042" t="1535" r="967" b="4990"/>
                    <a:stretch>
                      <a:fillRect/>
                    </a:stretch>
                  </pic:blipFill>
                  <pic:spPr>
                    <a:xfrm>
                      <a:off x="0" y="0"/>
                      <a:ext cx="8698230" cy="2319655"/>
                    </a:xfrm>
                    <a:prstGeom prst="rect">
                      <a:avLst/>
                    </a:prstGeom>
                  </pic:spPr>
                </pic:pic>
              </a:graphicData>
            </a:graphic>
          </wp:inline>
        </w:drawing>
      </w:r>
      <w:r>
        <w:drawing>
          <wp:inline distT="0" distB="0" distL="114300" distR="114300">
            <wp:extent cx="8797925" cy="5370195"/>
            <wp:effectExtent l="0" t="0" r="3175"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7"/>
                    <a:stretch>
                      <a:fillRect/>
                    </a:stretch>
                  </pic:blipFill>
                  <pic:spPr>
                    <a:xfrm>
                      <a:off x="0" y="0"/>
                      <a:ext cx="8797925" cy="5370195"/>
                    </a:xfrm>
                    <a:prstGeom prst="rect">
                      <a:avLst/>
                    </a:prstGeom>
                    <a:noFill/>
                    <a:ln>
                      <a:noFill/>
                    </a:ln>
                  </pic:spPr>
                </pic:pic>
              </a:graphicData>
            </a:graphic>
          </wp:inline>
        </w:drawing>
      </w:r>
    </w:p>
    <w:p w14:paraId="1044CADC">
      <w:pPr>
        <w:pStyle w:val="7"/>
        <w:widowControl/>
        <w:spacing w:before="76" w:beforeAutospacing="0" w:after="76" w:afterAutospacing="0" w:line="450" w:lineRule="atLeast"/>
        <w:rPr>
          <w:color w:val="333333"/>
        </w:rPr>
      </w:pPr>
      <w:r>
        <w:drawing>
          <wp:inline distT="0" distB="0" distL="0" distR="0">
            <wp:extent cx="8867775" cy="3778885"/>
            <wp:effectExtent l="0" t="0" r="952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l="2453" t="3119" r="3037" b="2599"/>
                    <a:stretch>
                      <a:fillRect/>
                    </a:stretch>
                  </pic:blipFill>
                  <pic:spPr>
                    <a:xfrm>
                      <a:off x="0" y="0"/>
                      <a:ext cx="8867775" cy="3778885"/>
                    </a:xfrm>
                    <a:prstGeom prst="rect">
                      <a:avLst/>
                    </a:prstGeom>
                  </pic:spPr>
                </pic:pic>
              </a:graphicData>
            </a:graphic>
          </wp:inline>
        </w:drawing>
      </w:r>
    </w:p>
    <w:p w14:paraId="5DAE65CC">
      <w:pPr>
        <w:pStyle w:val="7"/>
        <w:widowControl/>
        <w:spacing w:before="76" w:beforeAutospacing="0" w:after="76" w:afterAutospacing="0" w:line="450" w:lineRule="atLeast"/>
        <w:ind w:firstLine="420"/>
        <w:rPr>
          <w:color w:val="333333"/>
        </w:rPr>
      </w:pPr>
    </w:p>
    <w:p w14:paraId="49ECDDC8">
      <w:pPr>
        <w:pStyle w:val="7"/>
        <w:widowControl/>
        <w:spacing w:before="76" w:beforeAutospacing="0" w:after="76" w:afterAutospacing="0" w:line="450" w:lineRule="atLeast"/>
        <w:ind w:firstLine="420"/>
      </w:pPr>
    </w:p>
    <w:p w14:paraId="01173E0F">
      <w:pPr>
        <w:pStyle w:val="7"/>
        <w:widowControl/>
        <w:spacing w:before="76" w:beforeAutospacing="0" w:after="76" w:afterAutospacing="0" w:line="450" w:lineRule="atLeast"/>
      </w:pPr>
      <w:r>
        <w:drawing>
          <wp:inline distT="0" distB="0" distL="114300" distR="114300">
            <wp:extent cx="8772525" cy="5187950"/>
            <wp:effectExtent l="0" t="0" r="9525" b="1270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9"/>
                    <a:stretch>
                      <a:fillRect/>
                    </a:stretch>
                  </pic:blipFill>
                  <pic:spPr>
                    <a:xfrm>
                      <a:off x="0" y="0"/>
                      <a:ext cx="8772525" cy="5187950"/>
                    </a:xfrm>
                    <a:prstGeom prst="rect">
                      <a:avLst/>
                    </a:prstGeom>
                    <a:noFill/>
                    <a:ln>
                      <a:noFill/>
                    </a:ln>
                  </pic:spPr>
                </pic:pic>
              </a:graphicData>
            </a:graphic>
          </wp:inline>
        </w:drawing>
      </w:r>
    </w:p>
    <w:p w14:paraId="320D0217">
      <w:pPr>
        <w:pStyle w:val="7"/>
        <w:widowControl/>
        <w:spacing w:before="76" w:beforeAutospacing="0" w:after="76" w:afterAutospacing="0" w:line="450" w:lineRule="atLeast"/>
        <w:rPr>
          <w:color w:val="333333"/>
        </w:rPr>
      </w:pPr>
      <w:r>
        <w:drawing>
          <wp:inline distT="0" distB="0" distL="0" distR="0">
            <wp:extent cx="8700770" cy="2045335"/>
            <wp:effectExtent l="0" t="0" r="508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rcRect l="1290" t="2085" r="1719" b="2606"/>
                    <a:stretch>
                      <a:fillRect/>
                    </a:stretch>
                  </pic:blipFill>
                  <pic:spPr>
                    <a:xfrm>
                      <a:off x="0" y="0"/>
                      <a:ext cx="8700770" cy="2045335"/>
                    </a:xfrm>
                    <a:prstGeom prst="rect">
                      <a:avLst/>
                    </a:prstGeom>
                  </pic:spPr>
                </pic:pic>
              </a:graphicData>
            </a:graphic>
          </wp:inline>
        </w:drawing>
      </w:r>
    </w:p>
    <w:p w14:paraId="0E750168">
      <w:pPr>
        <w:pStyle w:val="7"/>
        <w:widowControl/>
        <w:spacing w:before="76" w:beforeAutospacing="0" w:after="76" w:afterAutospacing="0" w:line="450" w:lineRule="atLeast"/>
        <w:ind w:firstLine="420"/>
        <w:rPr>
          <w:color w:val="333333"/>
        </w:rPr>
      </w:pPr>
    </w:p>
    <w:p w14:paraId="3E5CE310">
      <w:pPr>
        <w:pStyle w:val="7"/>
        <w:widowControl/>
        <w:spacing w:before="76" w:beforeAutospacing="0" w:after="76" w:afterAutospacing="0" w:line="450" w:lineRule="atLeast"/>
        <w:rPr>
          <w:color w:val="333333"/>
        </w:rPr>
        <w:sectPr>
          <w:pgSz w:w="16838" w:h="11906" w:orient="landscape"/>
          <w:pgMar w:top="1800" w:right="1440" w:bottom="1800" w:left="1440" w:header="851" w:footer="992" w:gutter="0"/>
          <w:cols w:space="425" w:num="1"/>
          <w:docGrid w:type="lines" w:linePitch="312" w:charSpace="0"/>
        </w:sectPr>
      </w:pPr>
      <w:r>
        <w:drawing>
          <wp:inline distT="0" distB="0" distL="0" distR="0">
            <wp:extent cx="8780780" cy="2324100"/>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rcRect l="1823" r="912" b="2400"/>
                    <a:stretch>
                      <a:fillRect/>
                    </a:stretch>
                  </pic:blipFill>
                  <pic:spPr>
                    <a:xfrm>
                      <a:off x="0" y="0"/>
                      <a:ext cx="8780780" cy="2324100"/>
                    </a:xfrm>
                    <a:prstGeom prst="rect">
                      <a:avLst/>
                    </a:prstGeom>
                  </pic:spPr>
                </pic:pic>
              </a:graphicData>
            </a:graphic>
          </wp:inline>
        </w:drawing>
      </w:r>
    </w:p>
    <w:p w14:paraId="1EAD1679">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第三部分 2018年部门决算情况说明</w:t>
      </w:r>
    </w:p>
    <w:p w14:paraId="674E1E60">
      <w:pPr>
        <w:pStyle w:val="4"/>
        <w:autoSpaceDE w:val="0"/>
        <w:spacing w:line="560" w:lineRule="exact"/>
        <w:ind w:left="420" w:leftChars="200" w:firstLine="143" w:firstLineChars="50"/>
        <w:rPr>
          <w:rFonts w:hint="eastAsia" w:asciiTheme="minorEastAsia" w:hAnsiTheme="minorEastAsia" w:eastAsia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lang w:eastAsia="zh-CN"/>
        </w:rPr>
        <w:t>（一）</w:t>
      </w:r>
      <w:r>
        <w:rPr>
          <w:rFonts w:hint="eastAsia" w:asciiTheme="minorEastAsia" w:hAnsiTheme="minorEastAsia" w:eastAsiaTheme="minorEastAsia" w:cstheme="minorEastAsia"/>
          <w:b/>
          <w:bCs/>
          <w:color w:val="000000"/>
          <w:spacing w:val="2"/>
          <w:sz w:val="28"/>
          <w:szCs w:val="28"/>
        </w:rPr>
        <w:t>收入与支出预算执行情况分析</w:t>
      </w:r>
    </w:p>
    <w:p w14:paraId="2FAE211D">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2018年财政收入预算数733117元，其中人员经费577868元，公用经费155249元, 2018年财政支出预算数733117元，其中人员经费577868元，公用经费155249元, 2017年财政收入预算数682,272.98元，其中人员经费533,440.00元，公用经费148,832.98元, 2017年财政支出预算数682,272.98元，其中人员经费533,440.00元，公用经费148,832.98元， 2018年收入预算数安排比上年增加50844.02元， 2018年支出预算数安排比上年增加50844.02元。</w:t>
      </w:r>
    </w:p>
    <w:p w14:paraId="58A3778A">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1、收入支出与预算对比分析</w:t>
      </w:r>
    </w:p>
    <w:p w14:paraId="3CCF63BC">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2018年全年总收入1326932.94元,其中</w:t>
      </w:r>
      <w:r>
        <w:rPr>
          <w:rFonts w:hint="eastAsia" w:asciiTheme="minorEastAsia" w:hAnsiTheme="minorEastAsia" w:cstheme="minorEastAsia"/>
          <w:color w:val="000000"/>
          <w:spacing w:val="2"/>
          <w:kern w:val="2"/>
          <w:sz w:val="28"/>
          <w:szCs w:val="28"/>
          <w:lang w:val="en-US" w:eastAsia="zh-CN" w:bidi="ar-SA"/>
        </w:rPr>
        <w:t>财政拨款</w:t>
      </w:r>
      <w:r>
        <w:rPr>
          <w:rFonts w:hint="eastAsia" w:asciiTheme="minorEastAsia" w:hAnsiTheme="minorEastAsia" w:eastAsiaTheme="minorEastAsia" w:cstheme="minorEastAsia"/>
          <w:color w:val="000000"/>
          <w:spacing w:val="2"/>
          <w:kern w:val="2"/>
          <w:sz w:val="28"/>
          <w:szCs w:val="28"/>
          <w:lang w:val="en-US" w:eastAsia="zh-CN" w:bidi="ar-SA"/>
        </w:rPr>
        <w:t>决算收入1063733.03元,其它收入263199.91元, 2018年全年决算总支出1326932.94元,其中</w:t>
      </w:r>
      <w:r>
        <w:rPr>
          <w:rFonts w:hint="eastAsia" w:asciiTheme="minorEastAsia" w:hAnsiTheme="minorEastAsia" w:cstheme="minorEastAsia"/>
          <w:color w:val="000000"/>
          <w:spacing w:val="2"/>
          <w:kern w:val="2"/>
          <w:sz w:val="28"/>
          <w:szCs w:val="28"/>
          <w:lang w:val="en-US" w:eastAsia="zh-CN" w:bidi="ar-SA"/>
        </w:rPr>
        <w:t>财政拨款</w:t>
      </w:r>
      <w:r>
        <w:rPr>
          <w:rFonts w:hint="eastAsia" w:asciiTheme="minorEastAsia" w:hAnsiTheme="minorEastAsia" w:eastAsiaTheme="minorEastAsia" w:cstheme="minorEastAsia"/>
          <w:color w:val="000000"/>
          <w:spacing w:val="2"/>
          <w:kern w:val="2"/>
          <w:sz w:val="28"/>
          <w:szCs w:val="28"/>
          <w:lang w:val="en-US" w:eastAsia="zh-CN" w:bidi="ar-SA"/>
        </w:rPr>
        <w:t>决算支出1063733.03元,其它资金支出263199.91元,2018年财政预算数733117元，财拔决算比预算多593815.94元,幅度为81%,原因为业务增加。</w:t>
      </w:r>
    </w:p>
    <w:p w14:paraId="3C401B75">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2、收入支出结构分析</w:t>
      </w:r>
    </w:p>
    <w:p w14:paraId="5A10007A">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2018年全年总收入1326932.94元,其中</w:t>
      </w:r>
      <w:r>
        <w:rPr>
          <w:rFonts w:hint="eastAsia" w:asciiTheme="minorEastAsia" w:hAnsiTheme="minorEastAsia" w:cstheme="minorEastAsia"/>
          <w:color w:val="000000"/>
          <w:spacing w:val="2"/>
          <w:kern w:val="2"/>
          <w:sz w:val="28"/>
          <w:szCs w:val="28"/>
          <w:lang w:val="en-US" w:eastAsia="zh-CN" w:bidi="ar-SA"/>
        </w:rPr>
        <w:t>财政拨款</w:t>
      </w:r>
      <w:r>
        <w:rPr>
          <w:rFonts w:hint="eastAsia" w:asciiTheme="minorEastAsia" w:hAnsiTheme="minorEastAsia" w:eastAsiaTheme="minorEastAsia" w:cstheme="minorEastAsia"/>
          <w:color w:val="000000"/>
          <w:spacing w:val="2"/>
          <w:kern w:val="2"/>
          <w:sz w:val="28"/>
          <w:szCs w:val="28"/>
          <w:lang w:val="en-US" w:eastAsia="zh-CN" w:bidi="ar-SA"/>
        </w:rPr>
        <w:t>决算收入1063733.03元,其它收入263199.91元</w:t>
      </w:r>
      <w:r>
        <w:rPr>
          <w:rFonts w:hint="eastAsia" w:asciiTheme="minorEastAsia" w:hAnsiTheme="minorEastAsia" w:cstheme="minorEastAsia"/>
          <w:color w:val="000000"/>
          <w:spacing w:val="2"/>
          <w:kern w:val="2"/>
          <w:sz w:val="28"/>
          <w:szCs w:val="28"/>
          <w:lang w:val="en-US" w:eastAsia="zh-CN" w:bidi="ar-SA"/>
        </w:rPr>
        <w:t>；</w:t>
      </w:r>
      <w:r>
        <w:rPr>
          <w:rFonts w:hint="eastAsia" w:asciiTheme="minorEastAsia" w:hAnsiTheme="minorEastAsia" w:eastAsiaTheme="minorEastAsia" w:cstheme="minorEastAsia"/>
          <w:color w:val="000000"/>
          <w:spacing w:val="2"/>
          <w:kern w:val="2"/>
          <w:sz w:val="28"/>
          <w:szCs w:val="28"/>
          <w:lang w:val="en-US" w:eastAsia="zh-CN" w:bidi="ar-SA"/>
        </w:rPr>
        <w:t>2018年全年总支出1326932.94元，其中</w:t>
      </w:r>
      <w:r>
        <w:rPr>
          <w:rFonts w:hint="eastAsia" w:asciiTheme="minorEastAsia" w:hAnsiTheme="minorEastAsia" w:cstheme="minorEastAsia"/>
          <w:color w:val="000000"/>
          <w:spacing w:val="2"/>
          <w:kern w:val="2"/>
          <w:sz w:val="28"/>
          <w:szCs w:val="28"/>
          <w:lang w:val="en-US" w:eastAsia="zh-CN" w:bidi="ar-SA"/>
        </w:rPr>
        <w:t>财政拨款</w:t>
      </w:r>
      <w:r>
        <w:rPr>
          <w:rFonts w:hint="eastAsia" w:asciiTheme="minorEastAsia" w:hAnsiTheme="minorEastAsia" w:eastAsiaTheme="minorEastAsia" w:cstheme="minorEastAsia"/>
          <w:color w:val="000000"/>
          <w:spacing w:val="2"/>
          <w:kern w:val="2"/>
          <w:sz w:val="28"/>
          <w:szCs w:val="28"/>
          <w:lang w:val="en-US" w:eastAsia="zh-CN" w:bidi="ar-SA"/>
        </w:rPr>
        <w:t>决算总支出1063733.03元，其它资金支出263199.91元。</w:t>
      </w:r>
    </w:p>
    <w:p w14:paraId="7A977F19">
      <w:pPr>
        <w:pStyle w:val="7"/>
        <w:widowControl/>
        <w:spacing w:before="100" w:after="100"/>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3、支出按经济分类科目分析</w:t>
      </w:r>
    </w:p>
    <w:p w14:paraId="61AF347F">
      <w:pPr>
        <w:pStyle w:val="7"/>
        <w:widowControl/>
        <w:spacing w:before="100" w:after="100"/>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2018年全年总支出1326932.94元，其中工资福利支出 735660.89元，商品服务支出579930.05元，对个人和家庭的补助支出11342元。</w:t>
      </w:r>
    </w:p>
    <w:p w14:paraId="56DCE714">
      <w:pPr>
        <w:pStyle w:val="7"/>
        <w:widowControl/>
        <w:spacing w:before="76" w:after="76"/>
        <w:ind w:firstLine="420"/>
        <w:rPr>
          <w:rFonts w:hint="eastAsia" w:asciiTheme="minorEastAsia" w:hAnsiTheme="minorEastAsia" w:eastAsiaTheme="minorEastAsia" w:cstheme="minorEastAsia"/>
          <w:b/>
          <w:bCs/>
          <w:color w:val="000000"/>
          <w:spacing w:val="2"/>
          <w:kern w:val="2"/>
          <w:sz w:val="28"/>
          <w:szCs w:val="28"/>
          <w:lang w:val="en-US" w:eastAsia="zh-CN" w:bidi="ar-SA"/>
        </w:rPr>
      </w:pPr>
      <w:r>
        <w:rPr>
          <w:rFonts w:hint="eastAsia" w:asciiTheme="minorEastAsia" w:hAnsiTheme="minorEastAsia" w:eastAsiaTheme="minorEastAsia" w:cstheme="minorEastAsia"/>
          <w:b/>
          <w:bCs/>
          <w:color w:val="000000"/>
          <w:spacing w:val="2"/>
          <w:kern w:val="2"/>
          <w:sz w:val="28"/>
          <w:szCs w:val="28"/>
          <w:lang w:val="en-US" w:eastAsia="zh-CN" w:bidi="ar-SA"/>
        </w:rPr>
        <w:t>（二）关于“三公”经费支出说明</w:t>
      </w:r>
    </w:p>
    <w:p w14:paraId="465C9711">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本年度无三公经费支出。</w:t>
      </w:r>
    </w:p>
    <w:p w14:paraId="2B78659B">
      <w:pPr>
        <w:pStyle w:val="7"/>
        <w:widowControl/>
        <w:spacing w:before="76" w:after="76"/>
        <w:ind w:firstLine="420"/>
        <w:rPr>
          <w:rFonts w:hint="eastAsia" w:asciiTheme="minorEastAsia" w:hAnsiTheme="minorEastAsia" w:eastAsiaTheme="minorEastAsia" w:cstheme="minorEastAsia"/>
          <w:b/>
          <w:bCs/>
          <w:color w:val="000000"/>
          <w:spacing w:val="2"/>
          <w:kern w:val="2"/>
          <w:sz w:val="28"/>
          <w:szCs w:val="28"/>
          <w:lang w:val="en-US" w:eastAsia="zh-CN" w:bidi="ar-SA"/>
        </w:rPr>
      </w:pPr>
      <w:r>
        <w:rPr>
          <w:rFonts w:hint="eastAsia" w:asciiTheme="minorEastAsia" w:hAnsiTheme="minorEastAsia" w:eastAsiaTheme="minorEastAsia" w:cstheme="minorEastAsia"/>
          <w:b/>
          <w:bCs/>
          <w:color w:val="000000"/>
          <w:spacing w:val="2"/>
          <w:kern w:val="2"/>
          <w:sz w:val="28"/>
          <w:szCs w:val="28"/>
          <w:lang w:val="en-US" w:eastAsia="zh-CN" w:bidi="ar-SA"/>
        </w:rPr>
        <w:t>（三）关于机关运行经费支出说明</w:t>
      </w:r>
    </w:p>
    <w:p w14:paraId="15809A80">
      <w:pPr>
        <w:pStyle w:val="7"/>
        <w:widowControl/>
        <w:spacing w:before="76" w:after="76"/>
        <w:ind w:firstLine="420"/>
        <w:rPr>
          <w:rFonts w:hint="eastAsia" w:asciiTheme="minorEastAsia" w:hAnsiTheme="minorEastAsia" w:eastAsiaTheme="minorEastAsia" w:cstheme="minorEastAsia"/>
          <w:color w:val="000000"/>
          <w:spacing w:val="2"/>
          <w:kern w:val="2"/>
          <w:sz w:val="28"/>
          <w:szCs w:val="28"/>
          <w:lang w:val="en-US" w:eastAsia="zh-CN" w:bidi="ar-SA"/>
        </w:rPr>
      </w:pPr>
    </w:p>
    <w:p w14:paraId="2A5C09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8" w:firstLineChars="200"/>
        <w:textAlignment w:val="auto"/>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2018年机关运行经费支出397910.15元, 2017年机关运行经费支出428760.96元,同比上年增减-30850.81元，同比上年增减-7.2%，黄石港区审计局加强内部管理，压缩经费开支。</w:t>
      </w:r>
    </w:p>
    <w:p w14:paraId="6AA0C9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40" w:firstLineChars="200"/>
        <w:textAlignment w:val="auto"/>
        <w:rPr>
          <w:rFonts w:hint="eastAsia" w:ascii="仿宋_GB2312" w:eastAsia="仿宋_GB2312" w:hAnsiTheme="minorHAnsi" w:cstheme="minorBidi"/>
          <w:kern w:val="2"/>
          <w:sz w:val="27"/>
          <w:szCs w:val="27"/>
          <w:lang w:val="en-US" w:eastAsia="zh-CN" w:bidi="ar-SA"/>
        </w:rPr>
      </w:pPr>
    </w:p>
    <w:p w14:paraId="0CE772C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pacing w:val="2"/>
          <w:kern w:val="2"/>
          <w:sz w:val="28"/>
          <w:szCs w:val="28"/>
          <w:lang w:val="en-US" w:eastAsia="zh-CN" w:bidi="ar-SA"/>
        </w:rPr>
      </w:pPr>
      <w:r>
        <w:rPr>
          <w:rFonts w:hint="eastAsia" w:asciiTheme="minorEastAsia" w:hAnsiTheme="minorEastAsia" w:eastAsiaTheme="minorEastAsia" w:cstheme="minorEastAsia"/>
          <w:b/>
          <w:bCs/>
          <w:color w:val="000000"/>
          <w:spacing w:val="2"/>
          <w:kern w:val="2"/>
          <w:sz w:val="28"/>
          <w:szCs w:val="28"/>
          <w:lang w:val="en-US" w:eastAsia="zh-CN" w:bidi="ar-SA"/>
        </w:rPr>
        <w:t>（四）关于政府采购支出说明</w:t>
      </w:r>
    </w:p>
    <w:p w14:paraId="7A008DC9">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2018年政府采购总支出6850元，其中政府采购货物支出6850元，政府采购工程支出0，政府采购服务支出0元。</w:t>
      </w:r>
    </w:p>
    <w:p w14:paraId="426C9438">
      <w:pPr>
        <w:pStyle w:val="7"/>
        <w:widowControl/>
        <w:spacing w:before="76" w:after="76" w:line="450" w:lineRule="atLeast"/>
        <w:rPr>
          <w:rFonts w:hint="eastAsia" w:asciiTheme="minorEastAsia" w:hAnsiTheme="minorEastAsia" w:eastAsiaTheme="minorEastAsia" w:cstheme="minorEastAsia"/>
          <w:b/>
          <w:bCs/>
          <w:color w:val="000000"/>
          <w:spacing w:val="2"/>
          <w:kern w:val="2"/>
          <w:sz w:val="28"/>
          <w:szCs w:val="28"/>
          <w:lang w:val="en-US" w:eastAsia="zh-CN" w:bidi="ar-SA"/>
        </w:rPr>
      </w:pPr>
      <w:r>
        <w:rPr>
          <w:rFonts w:hint="eastAsia" w:asciiTheme="minorEastAsia" w:hAnsiTheme="minorEastAsia" w:eastAsiaTheme="minorEastAsia" w:cstheme="minorEastAsia"/>
          <w:b/>
          <w:bCs/>
          <w:color w:val="000000"/>
          <w:spacing w:val="2"/>
          <w:kern w:val="2"/>
          <w:sz w:val="28"/>
          <w:szCs w:val="28"/>
          <w:lang w:val="en-US" w:eastAsia="zh-CN" w:bidi="ar-SA"/>
        </w:rPr>
        <w:t>（五）关于国有资产占用情况说明</w:t>
      </w:r>
    </w:p>
    <w:p w14:paraId="0313680A">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截至2018年12月31日，本单位共有车辆0辆，其中领导干部用车0辆，一般公务用车0辆，一般执法执勤用车0辆，特种专业技术用车0辆，其它用车0辆。2017年12月31日，本单位共有车辆0辆，其中领导干部用车0辆，一般公务用车0辆，一般执法执勤用车0辆，特种专业技术用车0辆，其它用车0辆。2018年与2017年对比没有增减变化。</w:t>
      </w:r>
    </w:p>
    <w:p w14:paraId="3774ADF4">
      <w:pPr>
        <w:spacing w:line="560" w:lineRule="exact"/>
        <w:ind w:firstLine="285" w:firstLineChars="100"/>
        <w:rPr>
          <w:rFonts w:hint="eastAsia" w:asciiTheme="minorEastAsia" w:hAnsiTheme="minorEastAsia" w:eastAsiaTheme="minorEastAsia" w:cstheme="minorEastAsia"/>
          <w:b/>
          <w:bCs/>
          <w:color w:val="000000"/>
          <w:spacing w:val="2"/>
          <w:sz w:val="28"/>
          <w:szCs w:val="28"/>
          <w:lang w:val="en-US" w:eastAsia="zh-CN"/>
        </w:rPr>
      </w:pPr>
      <w:r>
        <w:rPr>
          <w:rFonts w:hint="eastAsia" w:asciiTheme="minorEastAsia" w:hAnsiTheme="minorEastAsia" w:eastAsiaTheme="minorEastAsia" w:cstheme="minorEastAsia"/>
          <w:b/>
          <w:bCs/>
          <w:color w:val="000000"/>
          <w:spacing w:val="2"/>
          <w:sz w:val="28"/>
          <w:szCs w:val="28"/>
          <w:lang w:val="en-US" w:eastAsia="zh-CN"/>
        </w:rPr>
        <w:t>（六）重点绩效评价结果等预算绩效情况说明</w:t>
      </w:r>
    </w:p>
    <w:p w14:paraId="1D01F23C">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2018年， 根据预算绩效管理要求，我单位组织2018年度一般公共预算项目支出全面开展绩效自评，共涉及项目</w:t>
      </w:r>
      <w:r>
        <w:rPr>
          <w:rFonts w:hint="eastAsia" w:asciiTheme="minorEastAsia" w:hAnsiTheme="minorEastAsia" w:cstheme="minorEastAsia"/>
          <w:color w:val="000000"/>
          <w:spacing w:val="2"/>
          <w:kern w:val="2"/>
          <w:sz w:val="28"/>
          <w:szCs w:val="28"/>
          <w:lang w:val="en-US" w:eastAsia="zh-CN" w:bidi="ar-SA"/>
        </w:rPr>
        <w:t>3</w:t>
      </w:r>
      <w:r>
        <w:rPr>
          <w:rFonts w:hint="eastAsia" w:asciiTheme="minorEastAsia" w:hAnsiTheme="minorEastAsia" w:eastAsiaTheme="minorEastAsia" w:cstheme="minorEastAsia"/>
          <w:color w:val="000000"/>
          <w:spacing w:val="2"/>
          <w:kern w:val="2"/>
          <w:sz w:val="28"/>
          <w:szCs w:val="28"/>
          <w:lang w:val="en-US" w:eastAsia="zh-CN" w:bidi="ar-SA"/>
        </w:rPr>
        <w:t>个，资金</w:t>
      </w:r>
      <w:r>
        <w:rPr>
          <w:rFonts w:hint="eastAsia" w:asciiTheme="minorEastAsia" w:hAnsiTheme="minorEastAsia" w:cstheme="minorEastAsia"/>
          <w:color w:val="000000"/>
          <w:spacing w:val="2"/>
          <w:kern w:val="2"/>
          <w:sz w:val="28"/>
          <w:szCs w:val="28"/>
          <w:lang w:val="en-US" w:eastAsia="zh-CN" w:bidi="ar-SA"/>
        </w:rPr>
        <w:t>7</w:t>
      </w:r>
      <w:r>
        <w:rPr>
          <w:rFonts w:hint="eastAsia" w:asciiTheme="minorEastAsia" w:hAnsiTheme="minorEastAsia" w:eastAsiaTheme="minorEastAsia" w:cstheme="minorEastAsia"/>
          <w:color w:val="000000"/>
          <w:spacing w:val="2"/>
          <w:kern w:val="2"/>
          <w:sz w:val="28"/>
          <w:szCs w:val="28"/>
          <w:lang w:val="en-US" w:eastAsia="zh-CN" w:bidi="ar-SA"/>
        </w:rPr>
        <w:t>万元。 2018年项目资金投入</w:t>
      </w:r>
      <w:r>
        <w:rPr>
          <w:rFonts w:hint="eastAsia" w:asciiTheme="minorEastAsia" w:hAnsiTheme="minorEastAsia" w:cstheme="minorEastAsia"/>
          <w:color w:val="000000"/>
          <w:spacing w:val="2"/>
          <w:kern w:val="2"/>
          <w:sz w:val="28"/>
          <w:szCs w:val="28"/>
          <w:lang w:val="en-US" w:eastAsia="zh-CN" w:bidi="ar-SA"/>
        </w:rPr>
        <w:t>7</w:t>
      </w:r>
      <w:r>
        <w:rPr>
          <w:rFonts w:hint="eastAsia" w:asciiTheme="minorEastAsia" w:hAnsiTheme="minorEastAsia" w:eastAsiaTheme="minorEastAsia" w:cstheme="minorEastAsia"/>
          <w:color w:val="000000"/>
          <w:spacing w:val="2"/>
          <w:kern w:val="2"/>
          <w:sz w:val="28"/>
          <w:szCs w:val="28"/>
          <w:lang w:val="en-US" w:eastAsia="zh-CN" w:bidi="ar-SA"/>
        </w:rPr>
        <w:t>万元，已使用</w:t>
      </w:r>
      <w:r>
        <w:rPr>
          <w:rFonts w:hint="eastAsia" w:asciiTheme="minorEastAsia" w:hAnsiTheme="minorEastAsia" w:cstheme="minorEastAsia"/>
          <w:color w:val="000000"/>
          <w:spacing w:val="2"/>
          <w:kern w:val="2"/>
          <w:sz w:val="28"/>
          <w:szCs w:val="28"/>
          <w:lang w:val="en-US" w:eastAsia="zh-CN" w:bidi="ar-SA"/>
        </w:rPr>
        <w:t>7</w:t>
      </w:r>
      <w:r>
        <w:rPr>
          <w:rFonts w:hint="eastAsia" w:asciiTheme="minorEastAsia" w:hAnsiTheme="minorEastAsia" w:eastAsiaTheme="minorEastAsia" w:cstheme="minorEastAsia"/>
          <w:color w:val="000000"/>
          <w:spacing w:val="2"/>
          <w:kern w:val="2"/>
          <w:sz w:val="28"/>
          <w:szCs w:val="28"/>
          <w:lang w:val="en-US" w:eastAsia="zh-CN" w:bidi="ar-SA"/>
        </w:rPr>
        <w:t>万元，使用率100%。使用从评价结果看，项目立项程序完整、规范，预算执行及时、有效，绩效目标得到较好实现，绩效管理水平不断提高，绩效指标体系建设逐渐丰富和完善。</w:t>
      </w:r>
    </w:p>
    <w:p w14:paraId="328A376D">
      <w:pPr>
        <w:pStyle w:val="7"/>
        <w:widowControl/>
        <w:numPr>
          <w:ilvl w:val="0"/>
          <w:numId w:val="2"/>
        </w:numPr>
        <w:spacing w:before="76" w:beforeAutospacing="0" w:after="76" w:afterAutospacing="0" w:line="450" w:lineRule="atLeast"/>
        <w:rPr>
          <w:rStyle w:val="10"/>
          <w:rFonts w:hint="eastAsia"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名词解释</w:t>
      </w:r>
    </w:p>
    <w:p w14:paraId="7D800038">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（一）财政拨款（补助）：指省级财政当年拨付的资金。</w:t>
      </w:r>
    </w:p>
    <w:p w14:paraId="4084895A">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 xml:space="preserve">（二）事业收入：指事业单位开展专业业务活动及其辅助活动取得的收入。 </w:t>
      </w:r>
    </w:p>
    <w:p w14:paraId="2BED07CB">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 xml:space="preserve">（三）其他收入：指预算单位在“财政拨款补助收入”、“事业收入”、“经营收入”以外取得的收入。 </w:t>
      </w:r>
    </w:p>
    <w:p w14:paraId="29E6B625">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 xml:space="preserve">（四）上年结转：指以前年度尚未完成、结转到本年仍按原规定用途继续使用的资金。 </w:t>
      </w:r>
    </w:p>
    <w:p w14:paraId="23AC4883">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 xml:space="preserve">（五）基本支出：指为保障机构正常运转、完成日常工作任务而发生的人员支出和公用支出。 </w:t>
      </w:r>
    </w:p>
    <w:p w14:paraId="134F0727">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（六）项目支出：指为完成特定的行政工作任务或事业发展目标，在基本支出之外发生的各项支出。</w:t>
      </w:r>
    </w:p>
    <w:p w14:paraId="030B5828">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0DA9247">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lang w:val="en-US" w:eastAsia="zh-CN" w:bidi="ar-SA"/>
        </w:rPr>
      </w:pPr>
      <w:r>
        <w:rPr>
          <w:rFonts w:hint="eastAsia" w:asciiTheme="minorEastAsia" w:hAnsiTheme="minorEastAsia" w:eastAsiaTheme="minorEastAsia" w:cstheme="minorEastAsia"/>
          <w:color w:val="000000"/>
          <w:spacing w:val="2"/>
          <w:kern w:val="2"/>
          <w:sz w:val="28"/>
          <w:szCs w:val="28"/>
          <w:lang w:val="en-US" w:eastAsia="zh-CN" w:bidi="ar-SA"/>
        </w:rPr>
        <w:t>（八）行政运行（项）：指机关和实行公务员法管理事业单位用于保障机构正常运转的基本支出。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2CFDD"/>
    <w:multiLevelType w:val="singleLevel"/>
    <w:tmpl w:val="F952CFDD"/>
    <w:lvl w:ilvl="0" w:tentative="0">
      <w:start w:val="4"/>
      <w:numFmt w:val="chineseCounting"/>
      <w:suff w:val="space"/>
      <w:lvlText w:val="第%1部分"/>
      <w:lvlJc w:val="left"/>
      <w:rPr>
        <w:rFonts w:hint="eastAsia"/>
      </w:rPr>
    </w:lvl>
  </w:abstractNum>
  <w:abstractNum w:abstractNumId="1">
    <w:nsid w:val="09AF1E14"/>
    <w:multiLevelType w:val="singleLevel"/>
    <w:tmpl w:val="09AF1E14"/>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7A"/>
    <w:rsid w:val="00642604"/>
    <w:rsid w:val="007E2FA0"/>
    <w:rsid w:val="00A1757A"/>
    <w:rsid w:val="00C15F75"/>
    <w:rsid w:val="00C34D8B"/>
    <w:rsid w:val="00F72D5F"/>
    <w:rsid w:val="0664587B"/>
    <w:rsid w:val="09FF39B4"/>
    <w:rsid w:val="0C8D5151"/>
    <w:rsid w:val="10157CA5"/>
    <w:rsid w:val="11411182"/>
    <w:rsid w:val="12E71789"/>
    <w:rsid w:val="1A3D2E8C"/>
    <w:rsid w:val="1B6B7B26"/>
    <w:rsid w:val="219E41B4"/>
    <w:rsid w:val="255E033E"/>
    <w:rsid w:val="27390172"/>
    <w:rsid w:val="2BED7C3A"/>
    <w:rsid w:val="2CCE2491"/>
    <w:rsid w:val="2F081AB6"/>
    <w:rsid w:val="325E7C3C"/>
    <w:rsid w:val="3926392F"/>
    <w:rsid w:val="401A2F36"/>
    <w:rsid w:val="457D21A1"/>
    <w:rsid w:val="507C1CF5"/>
    <w:rsid w:val="57193076"/>
    <w:rsid w:val="621B3808"/>
    <w:rsid w:val="67E4782B"/>
    <w:rsid w:val="746766E2"/>
    <w:rsid w:val="74EA7B66"/>
    <w:rsid w:val="7818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2">
    <w:name w:val="ca-2"/>
    <w:basedOn w:val="9"/>
    <w:qFormat/>
    <w:uiPriority w:val="0"/>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ca-3"/>
    <w:basedOn w:val="9"/>
    <w:qFormat/>
    <w:uiPriority w:val="0"/>
  </w:style>
  <w:style w:type="character" w:customStyle="1" w:styleId="15">
    <w:name w:val="页眉 Char"/>
    <w:basedOn w:val="9"/>
    <w:link w:val="6"/>
    <w:qFormat/>
    <w:uiPriority w:val="0"/>
    <w:rPr>
      <w:rFonts w:asciiTheme="minorHAnsi" w:hAnsiTheme="minorHAnsi" w:eastAsiaTheme="minorEastAsia" w:cstheme="minorBidi"/>
      <w:kern w:val="2"/>
      <w:sz w:val="18"/>
      <w:szCs w:val="18"/>
    </w:rPr>
  </w:style>
  <w:style w:type="character" w:customStyle="1" w:styleId="16">
    <w:name w:val="页脚 Char"/>
    <w:basedOn w:val="9"/>
    <w:link w:val="5"/>
    <w:qFormat/>
    <w:uiPriority w:val="0"/>
    <w:rPr>
      <w:rFonts w:asciiTheme="minorHAnsi" w:hAnsiTheme="minorHAnsi" w:eastAsiaTheme="minorEastAsia" w:cstheme="minorBidi"/>
      <w:kern w:val="2"/>
      <w:sz w:val="18"/>
      <w:szCs w:val="18"/>
    </w:rPr>
  </w:style>
  <w:style w:type="paragraph" w:customStyle="1" w:styleId="1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QQ</Company>
  <Pages>16</Pages>
  <Words>2311</Words>
  <Characters>2687</Characters>
  <Lines>16</Lines>
  <Paragraphs>4</Paragraphs>
  <TotalTime>2</TotalTime>
  <ScaleCrop>false</ScaleCrop>
  <LinksUpToDate>false</LinksUpToDate>
  <CharactersWithSpaces>2708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2025-02-12T03:41:51Z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BCE3813F870F4EE6A01A0E96ADD09E09_13</vt:lpwstr>
  </property>
</Properties>
</file>