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CC98">
      <w:pPr>
        <w:pStyle w:val="2"/>
        <w:keepNext w:val="0"/>
        <w:keepLines w:val="0"/>
        <w:pageBreakBefore w:val="0"/>
        <w:widowControl/>
        <w:shd w:val="clear" w:color="auto" w:fill="FFFFFF"/>
        <w:kinsoku/>
        <w:overflowPunct/>
        <w:topLinePunct w:val="0"/>
        <w:autoSpaceDE/>
        <w:autoSpaceDN/>
        <w:bidi w:val="0"/>
        <w:adjustRightInd/>
        <w:spacing w:before="40" w:beforeAutospacing="0" w:after="375" w:afterAutospacing="0" w:line="450" w:lineRule="atLeast"/>
        <w:jc w:val="center"/>
        <w:textAlignment w:val="auto"/>
        <w:rPr>
          <w:rFonts w:hint="eastAsia" w:ascii="宋体" w:hAnsi="宋体" w:eastAsia="宋体" w:cs="宋体"/>
          <w:color w:val="BC1010"/>
          <w:sz w:val="40"/>
          <w:szCs w:val="40"/>
        </w:rPr>
      </w:pPr>
      <w:bookmarkStart w:id="0" w:name="_GoBack"/>
      <w:r>
        <w:rPr>
          <w:rFonts w:hint="eastAsia" w:ascii="宋体" w:hAnsi="宋体" w:eastAsia="宋体" w:cs="宋体"/>
          <w:color w:val="BC1010"/>
          <w:sz w:val="40"/>
          <w:szCs w:val="40"/>
          <w:shd w:val="clear" w:color="auto" w:fill="FFFFFF"/>
        </w:rPr>
        <w:t>胜阳港街办</w:t>
      </w:r>
      <w:r>
        <w:rPr>
          <w:rFonts w:hint="eastAsia" w:ascii="宋体" w:hAnsi="宋体" w:eastAsia="宋体" w:cs="宋体"/>
          <w:color w:val="BC1010"/>
          <w:sz w:val="40"/>
          <w:szCs w:val="40"/>
          <w:shd w:val="clear" w:color="auto" w:fill="FFFFFF"/>
          <w:lang w:eastAsia="zh-CN"/>
        </w:rPr>
        <w:t>2021年</w:t>
      </w:r>
      <w:r>
        <w:rPr>
          <w:rFonts w:hint="eastAsia" w:ascii="宋体" w:hAnsi="宋体" w:eastAsia="宋体" w:cs="宋体"/>
          <w:color w:val="BC1010"/>
          <w:sz w:val="40"/>
          <w:szCs w:val="40"/>
          <w:shd w:val="clear" w:color="auto" w:fill="FFFFFF"/>
        </w:rPr>
        <w:t>部门</w:t>
      </w:r>
      <w:r>
        <w:rPr>
          <w:rFonts w:hint="eastAsia" w:ascii="宋体" w:hAnsi="宋体" w:eastAsia="宋体" w:cs="宋体"/>
          <w:color w:val="BC1010"/>
          <w:sz w:val="40"/>
          <w:szCs w:val="40"/>
          <w:shd w:val="clear" w:color="auto" w:fill="FFFFFF"/>
          <w:lang w:eastAsia="zh-CN"/>
        </w:rPr>
        <w:t>决算</w:t>
      </w:r>
      <w:r>
        <w:rPr>
          <w:rFonts w:hint="eastAsia" w:ascii="宋体" w:hAnsi="宋体" w:eastAsia="宋体" w:cs="宋体"/>
          <w:color w:val="BC1010"/>
          <w:sz w:val="40"/>
          <w:szCs w:val="40"/>
          <w:shd w:val="clear" w:color="auto" w:fill="FFFFFF"/>
        </w:rPr>
        <w:t>公开</w:t>
      </w:r>
    </w:p>
    <w:bookmarkEnd w:id="0"/>
    <w:p w14:paraId="008E2310">
      <w:pPr>
        <w:keepNext w:val="0"/>
        <w:keepLines w:val="0"/>
        <w:pageBreakBefore w:val="0"/>
        <w:widowControl/>
        <w:shd w:val="clear" w:color="auto" w:fill="FFFFFF"/>
        <w:kinsoku/>
        <w:overflowPunct/>
        <w:topLinePunct w:val="0"/>
        <w:autoSpaceDE/>
        <w:autoSpaceDN/>
        <w:bidi w:val="0"/>
        <w:adjustRightInd/>
        <w:spacing w:before="40" w:line="450" w:lineRule="atLeast"/>
        <w:jc w:val="center"/>
        <w:textAlignment w:val="auto"/>
        <w:rPr>
          <w:rFonts w:hint="eastAsia" w:ascii="宋体" w:hAnsi="宋体" w:eastAsia="宋体" w:cs="宋体"/>
          <w:color w:val="333333"/>
          <w:sz w:val="24"/>
        </w:rPr>
      </w:pPr>
      <w:r>
        <w:rPr>
          <w:rStyle w:val="9"/>
          <w:rFonts w:hint="eastAsia" w:ascii="宋体" w:hAnsi="宋体" w:eastAsia="宋体" w:cs="宋体"/>
          <w:color w:val="333333"/>
          <w:kern w:val="0"/>
          <w:sz w:val="24"/>
          <w:shd w:val="clear" w:color="auto" w:fill="FFFFFF"/>
        </w:rPr>
        <w:t>目 录</w:t>
      </w:r>
    </w:p>
    <w:p w14:paraId="1491C2EB">
      <w:pPr>
        <w:keepNext w:val="0"/>
        <w:keepLines w:val="0"/>
        <w:pageBreakBefore w:val="0"/>
        <w:kinsoku/>
        <w:overflowPunct/>
        <w:topLinePunct w:val="0"/>
        <w:autoSpaceDE/>
        <w:autoSpaceDN/>
        <w:bidi w:val="0"/>
        <w:adjustRightInd/>
        <w:spacing w:before="40" w:line="560" w:lineRule="exact"/>
        <w:textAlignment w:val="auto"/>
        <w:rPr>
          <w:rFonts w:hint="eastAsia" w:ascii="宋体" w:hAnsi="宋体" w:eastAsia="宋体" w:cs="宋体"/>
          <w:b/>
          <w:kern w:val="0"/>
          <w:sz w:val="28"/>
          <w:szCs w:val="28"/>
        </w:rPr>
      </w:pPr>
      <w:r>
        <w:rPr>
          <w:rStyle w:val="9"/>
          <w:rFonts w:hint="eastAsia" w:ascii="宋体" w:hAnsi="宋体" w:eastAsia="宋体" w:cs="宋体"/>
          <w:color w:val="333333"/>
          <w:kern w:val="0"/>
          <w:sz w:val="24"/>
          <w:shd w:val="clear" w:color="auto" w:fill="FFFFFF"/>
        </w:rPr>
        <w:t>第一部分：部门基本情况</w:t>
      </w:r>
    </w:p>
    <w:p w14:paraId="3AD3E4E7">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部门主要职责</w:t>
      </w:r>
    </w:p>
    <w:p w14:paraId="51CCBE54">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二、部门</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单位构成</w:t>
      </w:r>
    </w:p>
    <w:p w14:paraId="3EC68A78">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Style w:val="9"/>
          <w:rFonts w:hint="eastAsia" w:ascii="宋体" w:hAnsi="宋体" w:eastAsia="宋体" w:cs="宋体"/>
          <w:color w:val="333333"/>
          <w:shd w:val="clear" w:color="auto" w:fill="FFFFFF"/>
        </w:rPr>
        <w:t>第二部分: 部门</w:t>
      </w:r>
      <w:r>
        <w:rPr>
          <w:rStyle w:val="9"/>
          <w:rFonts w:hint="eastAsia" w:ascii="宋体" w:hAnsi="宋体" w:eastAsia="宋体" w:cs="宋体"/>
          <w:color w:val="333333"/>
          <w:shd w:val="clear" w:color="auto" w:fill="FFFFFF"/>
          <w:lang w:eastAsia="zh-CN"/>
        </w:rPr>
        <w:t>2021年</w:t>
      </w:r>
      <w:r>
        <w:rPr>
          <w:rStyle w:val="9"/>
          <w:rFonts w:hint="eastAsia" w:ascii="宋体" w:hAnsi="宋体" w:eastAsia="宋体" w:cs="宋体"/>
          <w:color w:val="333333"/>
          <w:shd w:val="clear" w:color="auto" w:fill="FFFFFF"/>
        </w:rPr>
        <w:t>部门</w:t>
      </w:r>
      <w:r>
        <w:rPr>
          <w:rStyle w:val="9"/>
          <w:rFonts w:hint="eastAsia" w:ascii="宋体" w:hAnsi="宋体" w:eastAsia="宋体" w:cs="宋体"/>
          <w:color w:val="333333"/>
          <w:shd w:val="clear" w:color="auto" w:fill="FFFFFF"/>
          <w:lang w:eastAsia="zh-CN"/>
        </w:rPr>
        <w:t>决算</w:t>
      </w:r>
      <w:r>
        <w:rPr>
          <w:rStyle w:val="9"/>
          <w:rFonts w:hint="eastAsia" w:ascii="宋体" w:hAnsi="宋体" w:eastAsia="宋体" w:cs="宋体"/>
          <w:color w:val="333333"/>
          <w:shd w:val="clear" w:color="auto" w:fill="FFFFFF"/>
        </w:rPr>
        <w:t>表</w:t>
      </w:r>
    </w:p>
    <w:p w14:paraId="78B0BC7D">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一、收入支出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总表（表1）</w:t>
      </w:r>
    </w:p>
    <w:p w14:paraId="43DEAA72">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二、收入</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表（表2）</w:t>
      </w:r>
    </w:p>
    <w:p w14:paraId="1B75D0FF">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三、支出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表（表3）</w:t>
      </w:r>
    </w:p>
    <w:p w14:paraId="5BB778D9">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四、财政拨款收入支出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总表（表4）</w:t>
      </w:r>
    </w:p>
    <w:p w14:paraId="601D600A">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五、一般公共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表（表5）</w:t>
      </w:r>
    </w:p>
    <w:p w14:paraId="06B906B7">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六、一般公共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财政拨款基本支出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表（表6）</w:t>
      </w:r>
    </w:p>
    <w:p w14:paraId="07E57AD5">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七、一般公共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财政拨款“三公”经费支出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表（表7）</w:t>
      </w:r>
    </w:p>
    <w:p w14:paraId="5B4402CC">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八、政府性基金</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支出情况表（表8）</w:t>
      </w:r>
    </w:p>
    <w:p w14:paraId="2CC70CF8">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val="en-US" w:eastAsia="zh-CN"/>
        </w:rPr>
      </w:pPr>
      <w:r>
        <w:rPr>
          <w:rFonts w:hint="eastAsia" w:ascii="宋体" w:hAnsi="宋体" w:eastAsia="宋体" w:cs="宋体"/>
          <w:color w:val="333333"/>
          <w:shd w:val="clear" w:color="auto" w:fill="FFFFFF"/>
          <w:lang w:eastAsia="zh-CN"/>
        </w:rPr>
        <w:t>九、国有资本经营预算财政拨款支出决算表（表</w:t>
      </w:r>
      <w:r>
        <w:rPr>
          <w:rFonts w:hint="eastAsia" w:ascii="宋体" w:hAnsi="宋体" w:eastAsia="宋体" w:cs="宋体"/>
          <w:color w:val="333333"/>
          <w:shd w:val="clear" w:color="auto" w:fill="FFFFFF"/>
          <w:lang w:val="en-US" w:eastAsia="zh-CN"/>
        </w:rPr>
        <w:t>9）</w:t>
      </w:r>
    </w:p>
    <w:p w14:paraId="51442A50">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60" w:lineRule="exact"/>
        <w:textAlignment w:val="auto"/>
        <w:rPr>
          <w:rStyle w:val="9"/>
          <w:rFonts w:hint="eastAsia" w:ascii="宋体" w:hAnsi="宋体" w:eastAsia="宋体" w:cs="宋体"/>
          <w:color w:val="333333"/>
          <w:shd w:val="clear" w:color="auto" w:fill="FFFFFF"/>
        </w:rPr>
      </w:pPr>
      <w:r>
        <w:rPr>
          <w:rStyle w:val="9"/>
          <w:rFonts w:hint="eastAsia" w:ascii="宋体" w:hAnsi="宋体" w:eastAsia="宋体" w:cs="宋体"/>
          <w:color w:val="333333"/>
          <w:shd w:val="clear" w:color="auto" w:fill="FFFFFF"/>
        </w:rPr>
        <w:t>第三部分：部门</w:t>
      </w:r>
      <w:r>
        <w:rPr>
          <w:rStyle w:val="9"/>
          <w:rFonts w:hint="eastAsia" w:ascii="宋体" w:hAnsi="宋体" w:eastAsia="宋体" w:cs="宋体"/>
          <w:color w:val="333333"/>
          <w:shd w:val="clear" w:color="auto" w:fill="FFFFFF"/>
          <w:lang w:eastAsia="zh-CN"/>
        </w:rPr>
        <w:t>20</w:t>
      </w:r>
      <w:r>
        <w:rPr>
          <w:rStyle w:val="9"/>
          <w:rFonts w:hint="eastAsia" w:ascii="宋体" w:hAnsi="宋体" w:eastAsia="宋体" w:cs="宋体"/>
          <w:color w:val="333333"/>
          <w:shd w:val="clear" w:color="auto" w:fill="FFFFFF"/>
          <w:lang w:val="en-US" w:eastAsia="zh-CN"/>
        </w:rPr>
        <w:t>21</w:t>
      </w:r>
      <w:r>
        <w:rPr>
          <w:rStyle w:val="9"/>
          <w:rFonts w:hint="eastAsia" w:ascii="宋体" w:hAnsi="宋体" w:eastAsia="宋体" w:cs="宋体"/>
          <w:color w:val="333333"/>
          <w:shd w:val="clear" w:color="auto" w:fill="FFFFFF"/>
        </w:rPr>
        <w:t>年部门决算情况说明</w:t>
      </w:r>
    </w:p>
    <w:p w14:paraId="71AED1A6">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一、预算执行情况分析</w:t>
      </w:r>
    </w:p>
    <w:p w14:paraId="093513CC">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二、关于“三公”经费支出说明</w:t>
      </w:r>
    </w:p>
    <w:p w14:paraId="19A3CE64">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三、关于机关运行经费支出说明</w:t>
      </w:r>
    </w:p>
    <w:p w14:paraId="0A4FF0C9">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四、关于政府采购支出说明</w:t>
      </w:r>
    </w:p>
    <w:p w14:paraId="2B66C4BC">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五、关于国有资产占用情况说明</w:t>
      </w:r>
    </w:p>
    <w:p w14:paraId="497679F3">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六、重点绩效评价结果等预算绩效情况说明</w:t>
      </w:r>
    </w:p>
    <w:p w14:paraId="610BA2F2">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val="en-US" w:eastAsia="zh-CN"/>
        </w:rPr>
        <w:t>七</w:t>
      </w:r>
      <w:r>
        <w:rPr>
          <w:rFonts w:hint="eastAsia" w:ascii="宋体" w:hAnsi="宋体" w:eastAsia="宋体" w:cs="宋体"/>
          <w:color w:val="333333"/>
          <w:shd w:val="clear" w:color="auto" w:fill="FFFFFF"/>
          <w:lang w:eastAsia="zh-CN"/>
        </w:rPr>
        <w:t>、决算收支增减变化情况</w:t>
      </w:r>
    </w:p>
    <w:p w14:paraId="31D26DF4">
      <w:pPr>
        <w:keepNext w:val="0"/>
        <w:keepLines w:val="0"/>
        <w:pageBreakBefore w:val="0"/>
        <w:widowControl/>
        <w:shd w:val="clear" w:color="auto" w:fill="FFFFFF"/>
        <w:kinsoku/>
        <w:overflowPunct/>
        <w:topLinePunct w:val="0"/>
        <w:autoSpaceDE/>
        <w:autoSpaceDN/>
        <w:bidi w:val="0"/>
        <w:adjustRightInd/>
        <w:spacing w:before="40" w:line="560" w:lineRule="exact"/>
        <w:jc w:val="left"/>
        <w:textAlignment w:val="auto"/>
        <w:rPr>
          <w:rStyle w:val="9"/>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第四部分：名词解释</w:t>
      </w:r>
      <w:r>
        <w:rPr>
          <w:rFonts w:hint="eastAsia" w:ascii="宋体" w:hAnsi="宋体" w:eastAsia="宋体" w:cs="宋体"/>
          <w:color w:val="333333"/>
          <w:kern w:val="0"/>
          <w:sz w:val="24"/>
          <w:shd w:val="clear" w:color="auto" w:fill="FFFFFF"/>
        </w:rPr>
        <w:t> </w:t>
      </w:r>
    </w:p>
    <w:p w14:paraId="36284B41">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075C4434">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1D41FB12">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15D8AB48">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5060F9E9">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75ED389F">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第一部分：部门基本情况</w:t>
      </w:r>
    </w:p>
    <w:p w14:paraId="611E7DA8">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0B7F5D47">
      <w:pPr>
        <w:keepNext w:val="0"/>
        <w:keepLines w:val="0"/>
        <w:pageBreakBefore w:val="0"/>
        <w:numPr>
          <w:ilvl w:val="0"/>
          <w:numId w:val="2"/>
        </w:numPr>
        <w:kinsoku/>
        <w:wordWrap w:val="0"/>
        <w:overflowPunct/>
        <w:topLinePunct w:val="0"/>
        <w:autoSpaceDE/>
        <w:autoSpaceDN/>
        <w:bidi w:val="0"/>
        <w:adjustRightInd/>
        <w:spacing w:before="40" w:after="120" w:line="560" w:lineRule="atLeast"/>
        <w:textAlignment w:val="auto"/>
        <w:rPr>
          <w:rFonts w:hint="eastAsia" w:ascii="宋体" w:hAnsi="宋体" w:eastAsia="宋体" w:cs="宋体"/>
          <w:sz w:val="28"/>
          <w:szCs w:val="28"/>
        </w:rPr>
      </w:pPr>
      <w:r>
        <w:rPr>
          <w:rFonts w:hint="eastAsia" w:ascii="宋体" w:hAnsi="宋体" w:eastAsia="宋体" w:cs="宋体"/>
          <w:b/>
          <w:bCs/>
          <w:color w:val="000000"/>
          <w:spacing w:val="2"/>
          <w:sz w:val="28"/>
          <w:szCs w:val="28"/>
        </w:rPr>
        <w:t>部门主要职责</w:t>
      </w:r>
    </w:p>
    <w:p w14:paraId="19247983">
      <w:pPr>
        <w:keepNext w:val="0"/>
        <w:keepLines w:val="0"/>
        <w:pageBreakBefore w:val="0"/>
        <w:numPr>
          <w:ilvl w:val="0"/>
          <w:numId w:val="0"/>
        </w:numPr>
        <w:kinsoku/>
        <w:wordWrap w:val="0"/>
        <w:overflowPunct/>
        <w:topLinePunct w:val="0"/>
        <w:autoSpaceDE/>
        <w:autoSpaceDN/>
        <w:bidi w:val="0"/>
        <w:adjustRightInd/>
        <w:spacing w:before="40" w:after="120" w:line="560" w:lineRule="atLeas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w:t>
      </w:r>
      <w:r>
        <w:rPr>
          <w:rFonts w:hint="eastAsia" w:ascii="宋体" w:hAnsi="宋体" w:eastAsia="宋体" w:cs="宋体"/>
          <w:color w:val="000000"/>
          <w:sz w:val="28"/>
          <w:szCs w:val="28"/>
          <w:lang w:eastAsia="zh-CN"/>
        </w:rPr>
        <w:t>决算</w:t>
      </w:r>
      <w:r>
        <w:rPr>
          <w:rFonts w:hint="eastAsia" w:ascii="宋体" w:hAnsi="宋体" w:eastAsia="宋体" w:cs="宋体"/>
          <w:color w:val="000000"/>
          <w:sz w:val="28"/>
          <w:szCs w:val="28"/>
        </w:rPr>
        <w:t>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宋体" w:hAnsi="宋体" w:eastAsia="宋体" w:cs="宋体"/>
          <w:bCs/>
          <w:sz w:val="28"/>
          <w:szCs w:val="28"/>
        </w:rPr>
        <w:t>。</w:t>
      </w:r>
    </w:p>
    <w:p w14:paraId="0F542C36">
      <w:pPr>
        <w:keepNext w:val="0"/>
        <w:keepLines w:val="0"/>
        <w:pageBreakBefore w:val="0"/>
        <w:kinsoku/>
        <w:overflowPunct/>
        <w:topLinePunct w:val="0"/>
        <w:autoSpaceDE/>
        <w:autoSpaceDN/>
        <w:bidi w:val="0"/>
        <w:adjustRightInd/>
        <w:spacing w:before="40" w:line="560" w:lineRule="exact"/>
        <w:textAlignment w:val="auto"/>
        <w:rPr>
          <w:rFonts w:hint="eastAsia" w:ascii="宋体" w:hAnsi="宋体" w:eastAsia="宋体" w:cs="宋体"/>
          <w:b/>
          <w:bCs/>
          <w:color w:val="000000"/>
          <w:spacing w:val="2"/>
          <w:sz w:val="28"/>
          <w:szCs w:val="28"/>
        </w:rPr>
      </w:pPr>
      <w:r>
        <w:rPr>
          <w:rFonts w:hint="eastAsia" w:ascii="宋体" w:hAnsi="宋体" w:eastAsia="宋体" w:cs="宋体"/>
          <w:b/>
          <w:bCs/>
          <w:sz w:val="28"/>
          <w:szCs w:val="28"/>
        </w:rPr>
        <w:t>二、</w:t>
      </w:r>
      <w:r>
        <w:rPr>
          <w:rFonts w:hint="eastAsia" w:ascii="宋体" w:hAnsi="宋体" w:eastAsia="宋体" w:cs="宋体"/>
          <w:b/>
          <w:bCs/>
          <w:color w:val="000000"/>
          <w:spacing w:val="2"/>
          <w:sz w:val="28"/>
          <w:szCs w:val="28"/>
        </w:rPr>
        <w:t>部门</w:t>
      </w:r>
      <w:r>
        <w:rPr>
          <w:rFonts w:hint="eastAsia" w:ascii="宋体" w:hAnsi="宋体" w:eastAsia="宋体" w:cs="宋体"/>
          <w:b/>
          <w:bCs/>
          <w:color w:val="000000"/>
          <w:spacing w:val="2"/>
          <w:sz w:val="28"/>
          <w:szCs w:val="28"/>
          <w:lang w:eastAsia="zh-CN"/>
        </w:rPr>
        <w:t>决算</w:t>
      </w:r>
      <w:r>
        <w:rPr>
          <w:rFonts w:hint="eastAsia" w:ascii="宋体" w:hAnsi="宋体" w:eastAsia="宋体" w:cs="宋体"/>
          <w:b/>
          <w:bCs/>
          <w:color w:val="000000"/>
          <w:spacing w:val="2"/>
          <w:sz w:val="28"/>
          <w:szCs w:val="28"/>
        </w:rPr>
        <w:t>单位构成</w:t>
      </w:r>
    </w:p>
    <w:p w14:paraId="5A3A4D91">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sz w:val="28"/>
          <w:szCs w:val="28"/>
        </w:rPr>
        <w:t>内设机构：公共服务中心、经济服务中心、城管建设管理中心、综合办、党群办、法治办</w:t>
      </w:r>
      <w:r>
        <w:rPr>
          <w:rFonts w:hint="eastAsia" w:ascii="宋体" w:hAnsi="宋体" w:eastAsia="宋体" w:cs="宋体"/>
          <w:color w:val="333333"/>
          <w:kern w:val="0"/>
          <w:sz w:val="28"/>
          <w:szCs w:val="28"/>
        </w:rPr>
        <w:t>。</w:t>
      </w:r>
    </w:p>
    <w:p w14:paraId="68EE40BC">
      <w:pPr>
        <w:keepNext w:val="0"/>
        <w:keepLines w:val="0"/>
        <w:pageBreakBefore w:val="0"/>
        <w:widowControl/>
        <w:kinsoku/>
        <w:overflowPunct/>
        <w:topLinePunct w:val="0"/>
        <w:autoSpaceDE/>
        <w:autoSpaceDN/>
        <w:bidi w:val="0"/>
        <w:adjustRightInd/>
        <w:spacing w:before="40"/>
        <w:textAlignment w:val="auto"/>
        <w:rPr>
          <w:rFonts w:hint="eastAsia" w:ascii="宋体" w:hAnsi="宋体" w:eastAsia="宋体" w:cs="宋体"/>
          <w:color w:val="000000"/>
          <w:kern w:val="0"/>
          <w:sz w:val="28"/>
          <w:szCs w:val="28"/>
        </w:rPr>
      </w:pPr>
    </w:p>
    <w:p w14:paraId="3B00729E">
      <w:pPr>
        <w:keepNext w:val="0"/>
        <w:keepLines w:val="0"/>
        <w:pageBreakBefore w:val="0"/>
        <w:widowControl/>
        <w:kinsoku/>
        <w:overflowPunct/>
        <w:topLinePunct w:val="0"/>
        <w:autoSpaceDE/>
        <w:autoSpaceDN/>
        <w:bidi w:val="0"/>
        <w:adjustRightInd/>
        <w:spacing w:before="40"/>
        <w:textAlignment w:val="auto"/>
        <w:rPr>
          <w:rFonts w:hint="eastAsia" w:ascii="宋体" w:hAnsi="宋体" w:eastAsia="宋体" w:cs="宋体"/>
          <w:color w:val="000000"/>
          <w:kern w:val="0"/>
          <w:sz w:val="28"/>
          <w:szCs w:val="28"/>
        </w:rPr>
      </w:pPr>
    </w:p>
    <w:p w14:paraId="0C7BF25F">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55C5662A">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235F7AB6">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7BB4810D">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05D68070">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78CC8997">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3CAF8946">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68C59F6A">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18CDB284">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2E6B68D4">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0BA4D52F">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4215EE18">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450C09B8">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r>
        <w:rPr>
          <w:rStyle w:val="9"/>
          <w:rFonts w:hint="eastAsia" w:ascii="宋体" w:hAnsi="宋体" w:eastAsia="宋体" w:cs="宋体"/>
          <w:color w:val="333333"/>
          <w:kern w:val="0"/>
          <w:sz w:val="24"/>
          <w:szCs w:val="22"/>
          <w:highlight w:val="none"/>
          <w:shd w:val="clear" w:color="auto" w:fill="FFFFFF"/>
        </w:rPr>
        <w:t>第二部分: 部门</w:t>
      </w:r>
      <w:r>
        <w:rPr>
          <w:rStyle w:val="9"/>
          <w:rFonts w:hint="eastAsia" w:ascii="宋体" w:hAnsi="宋体" w:eastAsia="宋体" w:cs="宋体"/>
          <w:color w:val="333333"/>
          <w:kern w:val="0"/>
          <w:sz w:val="24"/>
          <w:szCs w:val="22"/>
          <w:highlight w:val="none"/>
          <w:shd w:val="clear" w:color="auto" w:fill="FFFFFF"/>
          <w:lang w:eastAsia="zh-CN"/>
        </w:rPr>
        <w:t>2021年</w:t>
      </w:r>
      <w:r>
        <w:rPr>
          <w:rStyle w:val="9"/>
          <w:rFonts w:hint="eastAsia" w:ascii="宋体" w:hAnsi="宋体" w:eastAsia="宋体" w:cs="宋体"/>
          <w:color w:val="333333"/>
          <w:kern w:val="0"/>
          <w:sz w:val="24"/>
          <w:szCs w:val="22"/>
          <w:highlight w:val="none"/>
          <w:shd w:val="clear" w:color="auto" w:fill="FFFFFF"/>
        </w:rPr>
        <w:t>部门</w:t>
      </w:r>
      <w:r>
        <w:rPr>
          <w:rStyle w:val="9"/>
          <w:rFonts w:hint="eastAsia" w:ascii="宋体" w:hAnsi="宋体" w:eastAsia="宋体" w:cs="宋体"/>
          <w:color w:val="333333"/>
          <w:kern w:val="0"/>
          <w:sz w:val="24"/>
          <w:szCs w:val="22"/>
          <w:highlight w:val="none"/>
          <w:shd w:val="clear" w:color="auto" w:fill="FFFFFF"/>
          <w:lang w:eastAsia="zh-CN"/>
        </w:rPr>
        <w:t>决算</w:t>
      </w:r>
      <w:r>
        <w:rPr>
          <w:rStyle w:val="9"/>
          <w:rFonts w:hint="eastAsia" w:ascii="宋体" w:hAnsi="宋体" w:eastAsia="宋体" w:cs="宋体"/>
          <w:color w:val="333333"/>
          <w:kern w:val="0"/>
          <w:sz w:val="24"/>
          <w:szCs w:val="22"/>
          <w:highlight w:val="none"/>
          <w:shd w:val="clear" w:color="auto" w:fill="FFFFFF"/>
        </w:rPr>
        <w:t>表</w:t>
      </w:r>
    </w:p>
    <w:p w14:paraId="22861EE8">
      <w:pPr>
        <w:keepNext w:val="0"/>
        <w:keepLines w:val="0"/>
        <w:pageBreakBefore w:val="0"/>
        <w:widowControl/>
        <w:kinsoku/>
        <w:overflowPunct/>
        <w:topLinePunct w:val="0"/>
        <w:autoSpaceDE/>
        <w:autoSpaceDN/>
        <w:bidi w:val="0"/>
        <w:adjustRightInd/>
        <w:spacing w:before="40"/>
        <w:jc w:val="lef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7463155" cy="2621915"/>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463155" cy="2621915"/>
                    </a:xfrm>
                    <a:prstGeom prst="rect">
                      <a:avLst/>
                    </a:prstGeom>
                    <a:noFill/>
                    <a:ln>
                      <a:noFill/>
                    </a:ln>
                  </pic:spPr>
                </pic:pic>
              </a:graphicData>
            </a:graphic>
          </wp:inline>
        </w:drawing>
      </w:r>
    </w:p>
    <w:p w14:paraId="2E87A201">
      <w:pPr>
        <w:keepNext w:val="0"/>
        <w:keepLines w:val="0"/>
        <w:pageBreakBefore w:val="0"/>
        <w:widowControl/>
        <w:kinsoku/>
        <w:overflowPunct/>
        <w:topLinePunct w:val="0"/>
        <w:autoSpaceDE/>
        <w:autoSpaceDN/>
        <w:bidi w:val="0"/>
        <w:adjustRightInd/>
        <w:spacing w:before="40"/>
        <w:jc w:val="left"/>
        <w:textAlignment w:val="auto"/>
        <w:rPr>
          <w:rFonts w:hint="eastAsia" w:ascii="宋体" w:hAnsi="宋体" w:eastAsia="宋体" w:cs="宋体"/>
          <w:b/>
          <w:bCs/>
          <w:color w:val="333333"/>
          <w:kern w:val="0"/>
          <w:sz w:val="24"/>
          <w:shd w:val="clear" w:color="auto" w:fill="FFFFFF"/>
        </w:rPr>
      </w:pPr>
    </w:p>
    <w:p w14:paraId="5480A9D2">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7615555" cy="1770380"/>
            <wp:effectExtent l="0" t="0" r="444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615555" cy="1770380"/>
                    </a:xfrm>
                    <a:prstGeom prst="rect">
                      <a:avLst/>
                    </a:prstGeom>
                    <a:noFill/>
                    <a:ln>
                      <a:noFill/>
                    </a:ln>
                  </pic:spPr>
                </pic:pic>
              </a:graphicData>
            </a:graphic>
          </wp:inline>
        </w:drawing>
      </w:r>
    </w:p>
    <w:p w14:paraId="5F015806">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317865" cy="2054860"/>
            <wp:effectExtent l="0" t="0" r="698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8317865" cy="2054860"/>
                    </a:xfrm>
                    <a:prstGeom prst="rect">
                      <a:avLst/>
                    </a:prstGeom>
                    <a:noFill/>
                    <a:ln>
                      <a:noFill/>
                    </a:ln>
                  </pic:spPr>
                </pic:pic>
              </a:graphicData>
            </a:graphic>
          </wp:inline>
        </w:drawing>
      </w:r>
    </w:p>
    <w:p w14:paraId="12EA05DF">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14:paraId="39C82AFF">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14:paraId="1F7FC23D">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137525" cy="5288280"/>
            <wp:effectExtent l="0" t="0" r="1587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8137525" cy="5288280"/>
                    </a:xfrm>
                    <a:prstGeom prst="rect">
                      <a:avLst/>
                    </a:prstGeom>
                    <a:noFill/>
                    <a:ln>
                      <a:noFill/>
                    </a:ln>
                  </pic:spPr>
                </pic:pic>
              </a:graphicData>
            </a:graphic>
          </wp:inline>
        </w:drawing>
      </w:r>
    </w:p>
    <w:p w14:paraId="7CCC2828">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14:paraId="0B882FCC">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157845" cy="2679700"/>
            <wp:effectExtent l="0" t="0" r="14605"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8157845" cy="2679700"/>
                    </a:xfrm>
                    <a:prstGeom prst="rect">
                      <a:avLst/>
                    </a:prstGeom>
                    <a:noFill/>
                    <a:ln>
                      <a:noFill/>
                    </a:ln>
                  </pic:spPr>
                </pic:pic>
              </a:graphicData>
            </a:graphic>
          </wp:inline>
        </w:drawing>
      </w:r>
    </w:p>
    <w:p w14:paraId="0B2393A9">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r>
        <w:rPr>
          <w:rFonts w:hint="eastAsia" w:ascii="宋体" w:hAnsi="宋体" w:eastAsia="宋体" w:cs="宋体"/>
        </w:rPr>
        <w:drawing>
          <wp:inline distT="0" distB="0" distL="114300" distR="114300">
            <wp:extent cx="8634095" cy="4258310"/>
            <wp:effectExtent l="0" t="0" r="1460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8634095" cy="4258310"/>
                    </a:xfrm>
                    <a:prstGeom prst="rect">
                      <a:avLst/>
                    </a:prstGeom>
                    <a:noFill/>
                    <a:ln>
                      <a:noFill/>
                    </a:ln>
                  </pic:spPr>
                </pic:pic>
              </a:graphicData>
            </a:graphic>
          </wp:inline>
        </w:drawing>
      </w:r>
    </w:p>
    <w:p w14:paraId="4F62C8FD">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p>
    <w:p w14:paraId="5B03E706">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p>
    <w:tbl>
      <w:tblPr>
        <w:tblStyle w:val="7"/>
        <w:tblpPr w:leftFromText="180" w:rightFromText="180" w:vertAnchor="text" w:horzAnchor="page" w:tblpX="1403" w:tblpY="37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5"/>
        <w:gridCol w:w="222"/>
        <w:gridCol w:w="222"/>
        <w:gridCol w:w="1016"/>
        <w:gridCol w:w="1616"/>
        <w:gridCol w:w="1016"/>
        <w:gridCol w:w="616"/>
        <w:gridCol w:w="1016"/>
        <w:gridCol w:w="1016"/>
        <w:gridCol w:w="1756"/>
      </w:tblGrid>
      <w:tr w14:paraId="0AD1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61" w:type="dxa"/>
            <w:gridSpan w:val="10"/>
            <w:tcBorders>
              <w:top w:val="nil"/>
              <w:left w:val="nil"/>
              <w:bottom w:val="nil"/>
              <w:right w:val="nil"/>
            </w:tcBorders>
            <w:shd w:val="clear" w:color="auto" w:fill="FFFFFF"/>
            <w:noWrap/>
            <w:vAlign w:val="center"/>
          </w:tcPr>
          <w:p w14:paraId="20B0273A">
            <w:pPr>
              <w:ind w:left="-840" w:leftChars="-400" w:firstLine="0" w:firstLineChars="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430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5" w:type="dxa"/>
            <w:tcBorders>
              <w:top w:val="nil"/>
              <w:left w:val="nil"/>
              <w:bottom w:val="nil"/>
              <w:right w:val="nil"/>
            </w:tcBorders>
            <w:shd w:val="clear" w:color="auto" w:fill="FFFFFF"/>
            <w:noWrap/>
            <w:vAlign w:val="center"/>
          </w:tcPr>
          <w:p w14:paraId="46650DEC">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4730F03E">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0FB60B6F">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6F22B929">
            <w:pPr>
              <w:jc w:val="left"/>
              <w:rPr>
                <w:rFonts w:hint="eastAsia" w:ascii="宋体" w:hAnsi="宋体" w:eastAsia="宋体" w:cs="宋体"/>
                <w:i w:val="0"/>
                <w:iCs w:val="0"/>
                <w:color w:val="000000"/>
                <w:sz w:val="18"/>
                <w:szCs w:val="18"/>
                <w:u w:val="none"/>
              </w:rPr>
            </w:pPr>
          </w:p>
        </w:tc>
        <w:tc>
          <w:tcPr>
            <w:tcW w:w="1616" w:type="dxa"/>
            <w:tcBorders>
              <w:top w:val="nil"/>
              <w:left w:val="nil"/>
              <w:bottom w:val="nil"/>
              <w:right w:val="nil"/>
            </w:tcBorders>
            <w:shd w:val="clear" w:color="auto" w:fill="FFFFFF"/>
            <w:noWrap/>
            <w:vAlign w:val="center"/>
          </w:tcPr>
          <w:p w14:paraId="6359B7C6">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3083444A">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0227EEF0">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137EB35C">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1189AF32">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52073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DE1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5" w:type="dxa"/>
            <w:tcBorders>
              <w:top w:val="nil"/>
              <w:left w:val="nil"/>
              <w:bottom w:val="single" w:color="000000" w:sz="4" w:space="0"/>
              <w:right w:val="nil"/>
            </w:tcBorders>
            <w:shd w:val="clear" w:color="auto" w:fill="FFFFFF"/>
            <w:noWrap/>
            <w:vAlign w:val="center"/>
          </w:tcPr>
          <w:p w14:paraId="584955D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w:t>
            </w:r>
            <w:r>
              <w:rPr>
                <w:rFonts w:hint="eastAsia" w:ascii="宋体" w:hAnsi="宋体" w:cs="宋体"/>
                <w:i w:val="0"/>
                <w:iCs w:val="0"/>
                <w:color w:val="000000"/>
                <w:kern w:val="0"/>
                <w:sz w:val="22"/>
                <w:szCs w:val="22"/>
                <w:u w:val="none"/>
                <w:lang w:val="en-US" w:eastAsia="zh-CN" w:bidi="ar"/>
              </w:rPr>
              <w:t>胜阳港街道办事处</w:t>
            </w:r>
          </w:p>
        </w:tc>
        <w:tc>
          <w:tcPr>
            <w:tcW w:w="222" w:type="dxa"/>
            <w:tcBorders>
              <w:top w:val="nil"/>
              <w:left w:val="nil"/>
              <w:bottom w:val="single" w:color="000000" w:sz="4" w:space="0"/>
              <w:right w:val="nil"/>
            </w:tcBorders>
            <w:shd w:val="clear" w:color="auto" w:fill="FFFFFF"/>
            <w:noWrap/>
            <w:vAlign w:val="center"/>
          </w:tcPr>
          <w:p w14:paraId="09EF3CC4">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3221D94C">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74C1B36B">
            <w:pPr>
              <w:jc w:val="center"/>
              <w:rPr>
                <w:rFonts w:hint="eastAsia" w:ascii="宋体" w:hAnsi="宋体" w:eastAsia="宋体" w:cs="宋体"/>
                <w:i w:val="0"/>
                <w:iCs w:val="0"/>
                <w:color w:val="000000"/>
                <w:sz w:val="18"/>
                <w:szCs w:val="18"/>
                <w:u w:val="none"/>
              </w:rPr>
            </w:pPr>
          </w:p>
        </w:tc>
        <w:tc>
          <w:tcPr>
            <w:tcW w:w="1616" w:type="dxa"/>
            <w:tcBorders>
              <w:top w:val="nil"/>
              <w:left w:val="nil"/>
              <w:bottom w:val="single" w:color="000000" w:sz="4" w:space="0"/>
              <w:right w:val="nil"/>
            </w:tcBorders>
            <w:shd w:val="clear" w:color="auto" w:fill="FFFFFF"/>
            <w:noWrap/>
            <w:vAlign w:val="center"/>
          </w:tcPr>
          <w:p w14:paraId="7F07D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16" w:type="dxa"/>
            <w:tcBorders>
              <w:top w:val="nil"/>
              <w:left w:val="nil"/>
              <w:bottom w:val="single" w:color="000000" w:sz="4" w:space="0"/>
              <w:right w:val="nil"/>
            </w:tcBorders>
            <w:shd w:val="clear" w:color="auto" w:fill="FFFFFF"/>
            <w:noWrap/>
            <w:vAlign w:val="center"/>
          </w:tcPr>
          <w:p w14:paraId="61A9B47B">
            <w:pPr>
              <w:jc w:val="center"/>
              <w:rPr>
                <w:rFonts w:hint="eastAsia" w:ascii="宋体" w:hAnsi="宋体" w:eastAsia="宋体" w:cs="宋体"/>
                <w:i w:val="0"/>
                <w:iCs w:val="0"/>
                <w:color w:val="000000"/>
                <w:sz w:val="18"/>
                <w:szCs w:val="18"/>
                <w:u w:val="none"/>
              </w:rPr>
            </w:pPr>
          </w:p>
        </w:tc>
        <w:tc>
          <w:tcPr>
            <w:tcW w:w="616" w:type="dxa"/>
            <w:tcBorders>
              <w:top w:val="nil"/>
              <w:left w:val="nil"/>
              <w:bottom w:val="single" w:color="000000" w:sz="4" w:space="0"/>
              <w:right w:val="nil"/>
            </w:tcBorders>
            <w:shd w:val="clear" w:color="auto" w:fill="FFFFFF"/>
            <w:noWrap/>
            <w:vAlign w:val="center"/>
          </w:tcPr>
          <w:p w14:paraId="389761CF">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30B82A75">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6C6F6180">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1DD1A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C26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14:paraId="3711AA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16" w:type="dxa"/>
            <w:vMerge w:val="restart"/>
            <w:tcBorders>
              <w:top w:val="nil"/>
              <w:left w:val="nil"/>
              <w:bottom w:val="single" w:color="000000" w:sz="4" w:space="0"/>
              <w:right w:val="single" w:color="000000" w:sz="4" w:space="0"/>
            </w:tcBorders>
            <w:shd w:val="clear" w:color="auto" w:fill="C0C0C0"/>
            <w:noWrap w:val="0"/>
            <w:vAlign w:val="center"/>
          </w:tcPr>
          <w:p w14:paraId="7F61E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02FBF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648" w:type="dxa"/>
            <w:gridSpan w:val="3"/>
            <w:tcBorders>
              <w:top w:val="nil"/>
              <w:left w:val="nil"/>
              <w:bottom w:val="single" w:color="000000" w:sz="4" w:space="0"/>
              <w:right w:val="single" w:color="000000" w:sz="4" w:space="0"/>
            </w:tcBorders>
            <w:shd w:val="clear" w:color="auto" w:fill="C0C0C0"/>
            <w:noWrap w:val="0"/>
            <w:vAlign w:val="center"/>
          </w:tcPr>
          <w:p w14:paraId="0CCD9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756" w:type="dxa"/>
            <w:vMerge w:val="restart"/>
            <w:tcBorders>
              <w:top w:val="nil"/>
              <w:left w:val="nil"/>
              <w:bottom w:val="single" w:color="000000" w:sz="4" w:space="0"/>
              <w:right w:val="single" w:color="000000" w:sz="4" w:space="0"/>
            </w:tcBorders>
            <w:shd w:val="clear" w:color="auto" w:fill="C0C0C0"/>
            <w:noWrap w:val="0"/>
            <w:vAlign w:val="center"/>
          </w:tcPr>
          <w:p w14:paraId="53C1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6567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644D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16" w:type="dxa"/>
            <w:vMerge w:val="restart"/>
            <w:tcBorders>
              <w:top w:val="nil"/>
              <w:left w:val="nil"/>
              <w:bottom w:val="single" w:color="000000" w:sz="4" w:space="0"/>
              <w:right w:val="single" w:color="000000" w:sz="4" w:space="0"/>
            </w:tcBorders>
            <w:shd w:val="clear" w:color="auto" w:fill="C0C0C0"/>
            <w:noWrap/>
            <w:vAlign w:val="center"/>
          </w:tcPr>
          <w:p w14:paraId="5E054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1E5460AD">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709B948">
            <w:pPr>
              <w:jc w:val="center"/>
              <w:rPr>
                <w:rFonts w:hint="eastAsia" w:ascii="宋体" w:hAnsi="宋体" w:eastAsia="宋体" w:cs="宋体"/>
                <w:i w:val="0"/>
                <w:iCs w:val="0"/>
                <w:color w:val="000000"/>
                <w:sz w:val="20"/>
                <w:szCs w:val="20"/>
                <w:u w:val="none"/>
              </w:rPr>
            </w:pPr>
          </w:p>
        </w:tc>
        <w:tc>
          <w:tcPr>
            <w:tcW w:w="616" w:type="dxa"/>
            <w:vMerge w:val="restart"/>
            <w:tcBorders>
              <w:top w:val="nil"/>
              <w:left w:val="nil"/>
              <w:bottom w:val="single" w:color="000000" w:sz="4" w:space="0"/>
              <w:right w:val="single" w:color="000000" w:sz="4" w:space="0"/>
            </w:tcBorders>
            <w:shd w:val="clear" w:color="auto" w:fill="C0C0C0"/>
            <w:noWrap w:val="0"/>
            <w:vAlign w:val="center"/>
          </w:tcPr>
          <w:p w14:paraId="60E9B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66084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22BB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14:paraId="4DA85C3C">
            <w:pPr>
              <w:jc w:val="center"/>
              <w:rPr>
                <w:rFonts w:hint="eastAsia" w:ascii="宋体" w:hAnsi="宋体" w:eastAsia="宋体" w:cs="宋体"/>
                <w:i w:val="0"/>
                <w:iCs w:val="0"/>
                <w:color w:val="000000"/>
                <w:sz w:val="20"/>
                <w:szCs w:val="20"/>
                <w:u w:val="none"/>
              </w:rPr>
            </w:pPr>
          </w:p>
        </w:tc>
      </w:tr>
      <w:tr w14:paraId="6983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64A35BD4">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094F8D1A">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3AF3460C">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4F9448AB">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14:paraId="50EA01EF">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9B361B3">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80165E8">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14:paraId="102A8976">
            <w:pPr>
              <w:jc w:val="center"/>
              <w:rPr>
                <w:rFonts w:hint="eastAsia" w:ascii="宋体" w:hAnsi="宋体" w:eastAsia="宋体" w:cs="宋体"/>
                <w:i w:val="0"/>
                <w:iCs w:val="0"/>
                <w:color w:val="000000"/>
                <w:sz w:val="20"/>
                <w:szCs w:val="20"/>
                <w:u w:val="none"/>
              </w:rPr>
            </w:pPr>
          </w:p>
        </w:tc>
      </w:tr>
      <w:tr w14:paraId="0E69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44599626">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7F87A878">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770FC582">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2B07403D">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14:paraId="364BAEC0">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798E011D">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8670F4F">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14:paraId="3FD4F6B1">
            <w:pPr>
              <w:jc w:val="center"/>
              <w:rPr>
                <w:rFonts w:hint="eastAsia" w:ascii="宋体" w:hAnsi="宋体" w:eastAsia="宋体" w:cs="宋体"/>
                <w:i w:val="0"/>
                <w:iCs w:val="0"/>
                <w:color w:val="000000"/>
                <w:sz w:val="20"/>
                <w:szCs w:val="20"/>
                <w:u w:val="none"/>
              </w:rPr>
            </w:pPr>
          </w:p>
        </w:tc>
      </w:tr>
      <w:tr w14:paraId="6BE6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14:paraId="63DC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16" w:type="dxa"/>
            <w:tcBorders>
              <w:top w:val="nil"/>
              <w:left w:val="nil"/>
              <w:bottom w:val="single" w:color="000000" w:sz="4" w:space="0"/>
              <w:right w:val="single" w:color="000000" w:sz="4" w:space="0"/>
            </w:tcBorders>
            <w:shd w:val="clear" w:color="auto" w:fill="C0C0C0"/>
            <w:noWrap/>
            <w:vAlign w:val="center"/>
          </w:tcPr>
          <w:p w14:paraId="6C42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nil"/>
              <w:left w:val="nil"/>
              <w:bottom w:val="single" w:color="000000" w:sz="4" w:space="0"/>
              <w:right w:val="single" w:color="000000" w:sz="4" w:space="0"/>
            </w:tcBorders>
            <w:shd w:val="clear" w:color="auto" w:fill="C0C0C0"/>
            <w:noWrap/>
            <w:vAlign w:val="center"/>
          </w:tcPr>
          <w:p w14:paraId="30EE5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tcBorders>
              <w:top w:val="nil"/>
              <w:left w:val="nil"/>
              <w:bottom w:val="single" w:color="000000" w:sz="4" w:space="0"/>
              <w:right w:val="single" w:color="000000" w:sz="4" w:space="0"/>
            </w:tcBorders>
            <w:shd w:val="clear" w:color="auto" w:fill="C0C0C0"/>
            <w:noWrap/>
            <w:vAlign w:val="center"/>
          </w:tcPr>
          <w:p w14:paraId="53683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nil"/>
              <w:left w:val="nil"/>
              <w:bottom w:val="single" w:color="000000" w:sz="4" w:space="0"/>
              <w:right w:val="single" w:color="000000" w:sz="4" w:space="0"/>
            </w:tcBorders>
            <w:shd w:val="clear" w:color="auto" w:fill="C0C0C0"/>
            <w:noWrap/>
            <w:vAlign w:val="center"/>
          </w:tcPr>
          <w:p w14:paraId="14EE1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nil"/>
              <w:left w:val="nil"/>
              <w:bottom w:val="single" w:color="000000" w:sz="4" w:space="0"/>
              <w:right w:val="single" w:color="000000" w:sz="4" w:space="0"/>
            </w:tcBorders>
            <w:shd w:val="clear" w:color="auto" w:fill="C0C0C0"/>
            <w:noWrap/>
            <w:vAlign w:val="center"/>
          </w:tcPr>
          <w:p w14:paraId="7421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6" w:type="dxa"/>
            <w:tcBorders>
              <w:top w:val="nil"/>
              <w:left w:val="nil"/>
              <w:bottom w:val="single" w:color="000000" w:sz="4" w:space="0"/>
              <w:right w:val="single" w:color="000000" w:sz="4" w:space="0"/>
            </w:tcBorders>
            <w:shd w:val="clear" w:color="auto" w:fill="C0C0C0"/>
            <w:noWrap/>
            <w:vAlign w:val="center"/>
          </w:tcPr>
          <w:p w14:paraId="5230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27D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14:paraId="3A67EB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6" w:type="dxa"/>
            <w:tcBorders>
              <w:top w:val="nil"/>
              <w:left w:val="nil"/>
              <w:bottom w:val="single" w:color="000000" w:sz="4" w:space="0"/>
              <w:right w:val="single" w:color="000000" w:sz="4" w:space="0"/>
            </w:tcBorders>
            <w:shd w:val="clear" w:color="auto" w:fill="FFFFFF"/>
            <w:noWrap/>
            <w:vAlign w:val="center"/>
          </w:tcPr>
          <w:p w14:paraId="0D6B5961">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587AE0DD">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616" w:type="dxa"/>
            <w:tcBorders>
              <w:top w:val="nil"/>
              <w:left w:val="nil"/>
              <w:bottom w:val="single" w:color="000000" w:sz="4" w:space="0"/>
              <w:right w:val="single" w:color="000000" w:sz="4" w:space="0"/>
            </w:tcBorders>
            <w:shd w:val="clear" w:color="auto" w:fill="FFFFFF"/>
            <w:noWrap/>
            <w:vAlign w:val="center"/>
          </w:tcPr>
          <w:p w14:paraId="413825AE">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2A4AC9B4">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7970163F">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756" w:type="dxa"/>
            <w:tcBorders>
              <w:top w:val="nil"/>
              <w:left w:val="nil"/>
              <w:bottom w:val="single" w:color="000000" w:sz="4" w:space="0"/>
              <w:right w:val="single" w:color="000000" w:sz="4" w:space="0"/>
            </w:tcBorders>
            <w:shd w:val="clear" w:color="auto" w:fill="FFFFFF"/>
            <w:noWrap/>
            <w:vAlign w:val="center"/>
          </w:tcPr>
          <w:p w14:paraId="40BC6855">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1210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tcBorders>
              <w:top w:val="nil"/>
              <w:left w:val="single" w:color="000000" w:sz="4" w:space="0"/>
              <w:bottom w:val="single" w:color="000000" w:sz="4" w:space="0"/>
              <w:right w:val="single" w:color="000000" w:sz="4" w:space="0"/>
            </w:tcBorders>
            <w:shd w:val="clear" w:color="auto" w:fill="FFFFFF"/>
            <w:noWrap/>
            <w:vAlign w:val="center"/>
          </w:tcPr>
          <w:p w14:paraId="452005B4">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CCFFFF"/>
            <w:noWrap/>
            <w:vAlign w:val="center"/>
          </w:tcPr>
          <w:p w14:paraId="6306FD60">
            <w:pPr>
              <w:jc w:val="left"/>
              <w:rPr>
                <w:rFonts w:hint="eastAsia" w:ascii="宋体" w:hAnsi="宋体" w:eastAsia="宋体" w:cs="宋体"/>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FFFFFF"/>
            <w:noWrap/>
            <w:vAlign w:val="center"/>
          </w:tcPr>
          <w:p w14:paraId="6BEB3489">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4E799778">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616" w:type="dxa"/>
            <w:tcBorders>
              <w:top w:val="nil"/>
              <w:left w:val="nil"/>
              <w:bottom w:val="single" w:color="000000" w:sz="4" w:space="0"/>
              <w:right w:val="single" w:color="000000" w:sz="4" w:space="0"/>
            </w:tcBorders>
            <w:shd w:val="clear" w:color="auto" w:fill="FFFFFF"/>
            <w:noWrap/>
            <w:vAlign w:val="center"/>
          </w:tcPr>
          <w:p w14:paraId="6BC99158">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072D9DC6">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72756BCA">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4DA3EB66">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6800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61" w:type="dxa"/>
            <w:gridSpan w:val="10"/>
            <w:tcBorders>
              <w:top w:val="nil"/>
              <w:left w:val="nil"/>
              <w:bottom w:val="nil"/>
              <w:right w:val="nil"/>
            </w:tcBorders>
            <w:shd w:val="clear" w:color="auto" w:fill="FFFFFF"/>
            <w:noWrap/>
            <w:vAlign w:val="center"/>
          </w:tcPr>
          <w:p w14:paraId="3CA88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注：本表反映部门本年度政府性基金预算财政拨款收入、支出及结转和结余情况。 </w:t>
            </w:r>
          </w:p>
          <w:p w14:paraId="46D96E1C">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14:paraId="3E68F232">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pPr>
      <w:r>
        <w:drawing>
          <wp:inline distT="0" distB="0" distL="114300" distR="114300">
            <wp:extent cx="8283575" cy="1779905"/>
            <wp:effectExtent l="0" t="0" r="3175"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8283575" cy="1779905"/>
                    </a:xfrm>
                    <a:prstGeom prst="rect">
                      <a:avLst/>
                    </a:prstGeom>
                    <a:noFill/>
                    <a:ln>
                      <a:noFill/>
                    </a:ln>
                  </pic:spPr>
                </pic:pic>
              </a:graphicData>
            </a:graphic>
          </wp:inline>
        </w:drawing>
      </w:r>
    </w:p>
    <w:p w14:paraId="74423C1E">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default"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注：本表反映部门本年度“三公”经费支出预决算情况。</w:t>
      </w:r>
      <w:r>
        <w:rPr>
          <w:rFonts w:hint="eastAsia" w:ascii="宋体" w:hAnsi="宋体" w:cs="宋体"/>
          <w:i w:val="0"/>
          <w:color w:val="000000"/>
          <w:kern w:val="0"/>
          <w:sz w:val="20"/>
          <w:szCs w:val="20"/>
          <w:u w:val="none"/>
          <w:lang w:val="en-US" w:eastAsia="zh-CN" w:bidi="ar"/>
        </w:rPr>
        <w:t>我部门无此项内容，本表无数据。</w:t>
      </w:r>
    </w:p>
    <w:p w14:paraId="3BA5213C">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cs="宋体"/>
          <w:i w:val="0"/>
          <w:color w:val="000000"/>
          <w:kern w:val="0"/>
          <w:sz w:val="20"/>
          <w:szCs w:val="20"/>
          <w:u w:val="none"/>
          <w:lang w:val="en-US" w:eastAsia="zh-CN" w:bidi="ar"/>
        </w:rPr>
      </w:pPr>
    </w:p>
    <w:p w14:paraId="721B9B1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7"/>
        <w:tblW w:w="13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19"/>
        <w:gridCol w:w="289"/>
        <w:gridCol w:w="289"/>
        <w:gridCol w:w="1497"/>
        <w:gridCol w:w="1373"/>
        <w:gridCol w:w="1212"/>
        <w:gridCol w:w="2941"/>
      </w:tblGrid>
      <w:tr w14:paraId="3500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 w:hRule="atLeast"/>
          <w:jc w:val="center"/>
        </w:trPr>
        <w:tc>
          <w:tcPr>
            <w:tcW w:w="13520" w:type="dxa"/>
            <w:gridSpan w:val="7"/>
            <w:tcBorders>
              <w:top w:val="nil"/>
              <w:left w:val="nil"/>
              <w:bottom w:val="nil"/>
              <w:right w:val="nil"/>
            </w:tcBorders>
            <w:shd w:val="clear" w:color="auto" w:fill="FFFFFF"/>
            <w:noWrap/>
            <w:vAlign w:val="center"/>
          </w:tcPr>
          <w:p w14:paraId="01B935F7">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878BFA8">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74023A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50DB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919" w:type="dxa"/>
            <w:tcBorders>
              <w:top w:val="nil"/>
              <w:left w:val="nil"/>
              <w:bottom w:val="nil"/>
              <w:right w:val="nil"/>
            </w:tcBorders>
            <w:shd w:val="clear" w:color="auto" w:fill="FFFFFF"/>
            <w:noWrap/>
            <w:vAlign w:val="center"/>
          </w:tcPr>
          <w:p w14:paraId="01F00D04">
            <w:pPr>
              <w:jc w:val="left"/>
              <w:rPr>
                <w:rFonts w:hint="eastAsia" w:ascii="宋体" w:hAnsi="宋体" w:eastAsia="宋体" w:cs="宋体"/>
                <w:i w:val="0"/>
                <w:iCs w:val="0"/>
                <w:color w:val="000000"/>
                <w:sz w:val="18"/>
                <w:szCs w:val="18"/>
                <w:u w:val="none"/>
              </w:rPr>
            </w:pPr>
          </w:p>
        </w:tc>
        <w:tc>
          <w:tcPr>
            <w:tcW w:w="289" w:type="dxa"/>
            <w:tcBorders>
              <w:top w:val="nil"/>
              <w:left w:val="nil"/>
              <w:bottom w:val="nil"/>
              <w:right w:val="nil"/>
            </w:tcBorders>
            <w:shd w:val="clear" w:color="auto" w:fill="FFFFFF"/>
            <w:noWrap/>
            <w:vAlign w:val="center"/>
          </w:tcPr>
          <w:p w14:paraId="4F3FC4BD">
            <w:pPr>
              <w:jc w:val="left"/>
              <w:rPr>
                <w:rFonts w:hint="eastAsia" w:ascii="宋体" w:hAnsi="宋体" w:eastAsia="宋体" w:cs="宋体"/>
                <w:i w:val="0"/>
                <w:iCs w:val="0"/>
                <w:color w:val="000000"/>
                <w:sz w:val="18"/>
                <w:szCs w:val="18"/>
                <w:u w:val="none"/>
              </w:rPr>
            </w:pPr>
          </w:p>
        </w:tc>
        <w:tc>
          <w:tcPr>
            <w:tcW w:w="289" w:type="dxa"/>
            <w:tcBorders>
              <w:top w:val="nil"/>
              <w:left w:val="nil"/>
              <w:bottom w:val="nil"/>
              <w:right w:val="nil"/>
            </w:tcBorders>
            <w:shd w:val="clear" w:color="auto" w:fill="FFFFFF"/>
            <w:noWrap/>
            <w:vAlign w:val="center"/>
          </w:tcPr>
          <w:p w14:paraId="3FD0302A">
            <w:pPr>
              <w:jc w:val="left"/>
              <w:rPr>
                <w:rFonts w:hint="eastAsia" w:ascii="宋体" w:hAnsi="宋体" w:eastAsia="宋体" w:cs="宋体"/>
                <w:i w:val="0"/>
                <w:iCs w:val="0"/>
                <w:color w:val="000000"/>
                <w:sz w:val="18"/>
                <w:szCs w:val="18"/>
                <w:u w:val="none"/>
              </w:rPr>
            </w:pPr>
          </w:p>
        </w:tc>
        <w:tc>
          <w:tcPr>
            <w:tcW w:w="1497" w:type="dxa"/>
            <w:tcBorders>
              <w:top w:val="nil"/>
              <w:left w:val="nil"/>
              <w:bottom w:val="nil"/>
              <w:right w:val="nil"/>
            </w:tcBorders>
            <w:shd w:val="clear" w:color="auto" w:fill="FFFFFF"/>
            <w:noWrap/>
            <w:vAlign w:val="center"/>
          </w:tcPr>
          <w:p w14:paraId="4333C4E9">
            <w:pPr>
              <w:jc w:val="left"/>
              <w:rPr>
                <w:rFonts w:hint="eastAsia" w:ascii="宋体" w:hAnsi="宋体" w:eastAsia="宋体" w:cs="宋体"/>
                <w:i w:val="0"/>
                <w:iCs w:val="0"/>
                <w:color w:val="000000"/>
                <w:sz w:val="18"/>
                <w:szCs w:val="18"/>
                <w:u w:val="none"/>
              </w:rPr>
            </w:pPr>
          </w:p>
        </w:tc>
        <w:tc>
          <w:tcPr>
            <w:tcW w:w="1373" w:type="dxa"/>
            <w:tcBorders>
              <w:top w:val="nil"/>
              <w:left w:val="nil"/>
              <w:bottom w:val="nil"/>
              <w:right w:val="nil"/>
            </w:tcBorders>
            <w:shd w:val="clear" w:color="auto" w:fill="FFFFFF"/>
            <w:noWrap/>
            <w:vAlign w:val="center"/>
          </w:tcPr>
          <w:p w14:paraId="44F1AB7A">
            <w:pPr>
              <w:jc w:val="left"/>
              <w:rPr>
                <w:rFonts w:hint="eastAsia" w:ascii="宋体" w:hAnsi="宋体" w:eastAsia="宋体" w:cs="宋体"/>
                <w:i w:val="0"/>
                <w:iCs w:val="0"/>
                <w:color w:val="000000"/>
                <w:sz w:val="18"/>
                <w:szCs w:val="18"/>
                <w:u w:val="none"/>
              </w:rPr>
            </w:pPr>
          </w:p>
        </w:tc>
        <w:tc>
          <w:tcPr>
            <w:tcW w:w="1212" w:type="dxa"/>
            <w:tcBorders>
              <w:top w:val="nil"/>
              <w:left w:val="nil"/>
              <w:bottom w:val="nil"/>
              <w:right w:val="nil"/>
            </w:tcBorders>
            <w:shd w:val="clear" w:color="auto" w:fill="FFFFFF"/>
            <w:noWrap/>
            <w:vAlign w:val="center"/>
          </w:tcPr>
          <w:p w14:paraId="28EAD0DB">
            <w:pPr>
              <w:jc w:val="left"/>
              <w:rPr>
                <w:rFonts w:hint="eastAsia" w:ascii="宋体" w:hAnsi="宋体" w:eastAsia="宋体" w:cs="宋体"/>
                <w:i w:val="0"/>
                <w:iCs w:val="0"/>
                <w:color w:val="000000"/>
                <w:sz w:val="18"/>
                <w:szCs w:val="18"/>
                <w:u w:val="none"/>
              </w:rPr>
            </w:pPr>
          </w:p>
        </w:tc>
        <w:tc>
          <w:tcPr>
            <w:tcW w:w="2941" w:type="dxa"/>
            <w:tcBorders>
              <w:top w:val="nil"/>
              <w:left w:val="nil"/>
              <w:bottom w:val="nil"/>
              <w:right w:val="nil"/>
            </w:tcBorders>
            <w:shd w:val="clear" w:color="auto" w:fill="FFFFFF"/>
            <w:noWrap/>
            <w:vAlign w:val="center"/>
          </w:tcPr>
          <w:p w14:paraId="264B7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0DD3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919" w:type="dxa"/>
            <w:tcBorders>
              <w:top w:val="nil"/>
              <w:left w:val="nil"/>
              <w:bottom w:val="single" w:color="000000" w:sz="4" w:space="0"/>
              <w:right w:val="nil"/>
            </w:tcBorders>
            <w:shd w:val="clear" w:color="auto" w:fill="FFFFFF"/>
            <w:noWrap/>
            <w:vAlign w:val="center"/>
          </w:tcPr>
          <w:p w14:paraId="728B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w:t>
            </w:r>
            <w:r>
              <w:rPr>
                <w:rFonts w:hint="eastAsia" w:ascii="宋体" w:hAnsi="宋体" w:cs="宋体"/>
                <w:i w:val="0"/>
                <w:iCs w:val="0"/>
                <w:color w:val="000000"/>
                <w:kern w:val="0"/>
                <w:sz w:val="22"/>
                <w:szCs w:val="22"/>
                <w:u w:val="none"/>
                <w:lang w:val="en-US" w:eastAsia="zh-CN" w:bidi="ar"/>
              </w:rPr>
              <w:t>胜阳港街道办事处</w:t>
            </w:r>
          </w:p>
        </w:tc>
        <w:tc>
          <w:tcPr>
            <w:tcW w:w="289" w:type="dxa"/>
            <w:tcBorders>
              <w:top w:val="nil"/>
              <w:left w:val="nil"/>
              <w:bottom w:val="single" w:color="000000" w:sz="4" w:space="0"/>
              <w:right w:val="nil"/>
            </w:tcBorders>
            <w:shd w:val="clear" w:color="auto" w:fill="FFFFFF"/>
            <w:noWrap/>
            <w:vAlign w:val="center"/>
          </w:tcPr>
          <w:p w14:paraId="0689D7C9">
            <w:pPr>
              <w:jc w:val="center"/>
              <w:rPr>
                <w:rFonts w:hint="eastAsia" w:ascii="宋体" w:hAnsi="宋体" w:eastAsia="宋体" w:cs="宋体"/>
                <w:i w:val="0"/>
                <w:iCs w:val="0"/>
                <w:color w:val="000000"/>
                <w:sz w:val="18"/>
                <w:szCs w:val="18"/>
                <w:u w:val="none"/>
              </w:rPr>
            </w:pPr>
          </w:p>
        </w:tc>
        <w:tc>
          <w:tcPr>
            <w:tcW w:w="289" w:type="dxa"/>
            <w:tcBorders>
              <w:top w:val="nil"/>
              <w:left w:val="nil"/>
              <w:bottom w:val="single" w:color="000000" w:sz="4" w:space="0"/>
              <w:right w:val="nil"/>
            </w:tcBorders>
            <w:shd w:val="clear" w:color="auto" w:fill="FFFFFF"/>
            <w:noWrap/>
            <w:vAlign w:val="center"/>
          </w:tcPr>
          <w:p w14:paraId="5075B239">
            <w:pPr>
              <w:jc w:val="center"/>
              <w:rPr>
                <w:rFonts w:hint="eastAsia" w:ascii="宋体" w:hAnsi="宋体" w:eastAsia="宋体" w:cs="宋体"/>
                <w:i w:val="0"/>
                <w:iCs w:val="0"/>
                <w:color w:val="000000"/>
                <w:sz w:val="18"/>
                <w:szCs w:val="18"/>
                <w:u w:val="none"/>
              </w:rPr>
            </w:pPr>
          </w:p>
        </w:tc>
        <w:tc>
          <w:tcPr>
            <w:tcW w:w="1497" w:type="dxa"/>
            <w:tcBorders>
              <w:top w:val="nil"/>
              <w:left w:val="nil"/>
              <w:bottom w:val="single" w:color="000000" w:sz="4" w:space="0"/>
              <w:right w:val="nil"/>
            </w:tcBorders>
            <w:shd w:val="clear" w:color="auto" w:fill="FFFFFF"/>
            <w:noWrap/>
            <w:vAlign w:val="center"/>
          </w:tcPr>
          <w:p w14:paraId="2C1AE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73" w:type="dxa"/>
            <w:tcBorders>
              <w:top w:val="nil"/>
              <w:left w:val="nil"/>
              <w:bottom w:val="single" w:color="000000" w:sz="4" w:space="0"/>
              <w:right w:val="nil"/>
            </w:tcBorders>
            <w:shd w:val="clear" w:color="auto" w:fill="FFFFFF"/>
            <w:noWrap/>
            <w:vAlign w:val="center"/>
          </w:tcPr>
          <w:p w14:paraId="2599EA2B">
            <w:pPr>
              <w:jc w:val="center"/>
              <w:rPr>
                <w:rFonts w:hint="eastAsia" w:ascii="宋体" w:hAnsi="宋体" w:eastAsia="宋体" w:cs="宋体"/>
                <w:i w:val="0"/>
                <w:iCs w:val="0"/>
                <w:color w:val="000000"/>
                <w:sz w:val="18"/>
                <w:szCs w:val="18"/>
                <w:u w:val="none"/>
              </w:rPr>
            </w:pPr>
          </w:p>
        </w:tc>
        <w:tc>
          <w:tcPr>
            <w:tcW w:w="1212" w:type="dxa"/>
            <w:tcBorders>
              <w:top w:val="nil"/>
              <w:left w:val="nil"/>
              <w:bottom w:val="single" w:color="000000" w:sz="4" w:space="0"/>
              <w:right w:val="nil"/>
            </w:tcBorders>
            <w:shd w:val="clear" w:color="auto" w:fill="FFFFFF"/>
            <w:noWrap/>
            <w:vAlign w:val="center"/>
          </w:tcPr>
          <w:p w14:paraId="6EA45EE6">
            <w:pPr>
              <w:jc w:val="center"/>
              <w:rPr>
                <w:rFonts w:hint="eastAsia" w:ascii="宋体" w:hAnsi="宋体" w:eastAsia="宋体" w:cs="宋体"/>
                <w:i w:val="0"/>
                <w:iCs w:val="0"/>
                <w:color w:val="000000"/>
                <w:sz w:val="18"/>
                <w:szCs w:val="18"/>
                <w:u w:val="none"/>
              </w:rPr>
            </w:pPr>
          </w:p>
        </w:tc>
        <w:tc>
          <w:tcPr>
            <w:tcW w:w="2941" w:type="dxa"/>
            <w:tcBorders>
              <w:top w:val="nil"/>
              <w:left w:val="nil"/>
              <w:bottom w:val="single" w:color="000000" w:sz="4" w:space="0"/>
              <w:right w:val="nil"/>
            </w:tcBorders>
            <w:shd w:val="clear" w:color="auto" w:fill="FFFFFF"/>
            <w:noWrap/>
            <w:vAlign w:val="center"/>
          </w:tcPr>
          <w:p w14:paraId="294B6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97A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14:paraId="085CCB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26" w:type="dxa"/>
            <w:gridSpan w:val="3"/>
            <w:tcBorders>
              <w:top w:val="nil"/>
              <w:left w:val="nil"/>
              <w:bottom w:val="single" w:color="000000" w:sz="4" w:space="0"/>
              <w:right w:val="single" w:color="000000" w:sz="4" w:space="0"/>
            </w:tcBorders>
            <w:shd w:val="clear" w:color="auto" w:fill="C0C0C0"/>
            <w:noWrap w:val="0"/>
            <w:vAlign w:val="center"/>
          </w:tcPr>
          <w:p w14:paraId="3F1FD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A00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6362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497" w:type="dxa"/>
            <w:vMerge w:val="restart"/>
            <w:tcBorders>
              <w:top w:val="nil"/>
              <w:left w:val="nil"/>
              <w:bottom w:val="single" w:color="000000" w:sz="4" w:space="0"/>
              <w:right w:val="single" w:color="000000" w:sz="4" w:space="0"/>
            </w:tcBorders>
            <w:shd w:val="clear" w:color="auto" w:fill="C0C0C0"/>
            <w:noWrap/>
            <w:vAlign w:val="center"/>
          </w:tcPr>
          <w:p w14:paraId="27070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73" w:type="dxa"/>
            <w:vMerge w:val="restart"/>
            <w:tcBorders>
              <w:top w:val="nil"/>
              <w:left w:val="nil"/>
              <w:bottom w:val="single" w:color="000000" w:sz="4" w:space="0"/>
              <w:right w:val="single" w:color="000000" w:sz="4" w:space="0"/>
            </w:tcBorders>
            <w:shd w:val="clear" w:color="auto" w:fill="C0C0C0"/>
            <w:noWrap w:val="0"/>
            <w:vAlign w:val="center"/>
          </w:tcPr>
          <w:p w14:paraId="7542F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12" w:type="dxa"/>
            <w:vMerge w:val="restart"/>
            <w:tcBorders>
              <w:top w:val="nil"/>
              <w:left w:val="nil"/>
              <w:bottom w:val="single" w:color="000000" w:sz="4" w:space="0"/>
              <w:right w:val="single" w:color="000000" w:sz="4" w:space="0"/>
            </w:tcBorders>
            <w:shd w:val="clear" w:color="auto" w:fill="C0C0C0"/>
            <w:noWrap w:val="0"/>
            <w:vAlign w:val="center"/>
          </w:tcPr>
          <w:p w14:paraId="6323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41" w:type="dxa"/>
            <w:vMerge w:val="restart"/>
            <w:tcBorders>
              <w:top w:val="nil"/>
              <w:left w:val="nil"/>
              <w:bottom w:val="single" w:color="000000" w:sz="4" w:space="0"/>
              <w:right w:val="single" w:color="000000" w:sz="4" w:space="0"/>
            </w:tcBorders>
            <w:shd w:val="clear" w:color="auto" w:fill="C0C0C0"/>
            <w:noWrap w:val="0"/>
            <w:vAlign w:val="center"/>
          </w:tcPr>
          <w:p w14:paraId="37CC3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F9A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A257C00">
            <w:pPr>
              <w:jc w:val="center"/>
              <w:rPr>
                <w:rFonts w:hint="eastAsia" w:ascii="宋体" w:hAnsi="宋体" w:eastAsia="宋体" w:cs="宋体"/>
                <w:i w:val="0"/>
                <w:iCs w:val="0"/>
                <w:color w:val="000000"/>
                <w:sz w:val="20"/>
                <w:szCs w:val="20"/>
                <w:u w:val="none"/>
              </w:rPr>
            </w:pPr>
          </w:p>
        </w:tc>
        <w:tc>
          <w:tcPr>
            <w:tcW w:w="1497" w:type="dxa"/>
            <w:vMerge w:val="continue"/>
            <w:tcBorders>
              <w:top w:val="nil"/>
              <w:left w:val="nil"/>
              <w:bottom w:val="single" w:color="000000" w:sz="4" w:space="0"/>
              <w:right w:val="single" w:color="000000" w:sz="4" w:space="0"/>
            </w:tcBorders>
            <w:shd w:val="clear" w:color="auto" w:fill="C0C0C0"/>
            <w:noWrap/>
            <w:vAlign w:val="center"/>
          </w:tcPr>
          <w:p w14:paraId="25807D3D">
            <w:pPr>
              <w:jc w:val="center"/>
              <w:rPr>
                <w:rFonts w:hint="eastAsia" w:ascii="宋体" w:hAnsi="宋体" w:eastAsia="宋体" w:cs="宋体"/>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val="0"/>
            <w:vAlign w:val="center"/>
          </w:tcPr>
          <w:p w14:paraId="6B7CDD1F">
            <w:pPr>
              <w:jc w:val="center"/>
              <w:rPr>
                <w:rFonts w:hint="eastAsia" w:ascii="宋体" w:hAnsi="宋体" w:eastAsia="宋体" w:cs="宋体"/>
                <w:i w:val="0"/>
                <w:iCs w:val="0"/>
                <w:color w:val="000000"/>
                <w:sz w:val="20"/>
                <w:szCs w:val="20"/>
                <w:u w:val="none"/>
              </w:rPr>
            </w:pPr>
          </w:p>
        </w:tc>
        <w:tc>
          <w:tcPr>
            <w:tcW w:w="1212" w:type="dxa"/>
            <w:vMerge w:val="continue"/>
            <w:tcBorders>
              <w:top w:val="nil"/>
              <w:left w:val="nil"/>
              <w:bottom w:val="single" w:color="000000" w:sz="4" w:space="0"/>
              <w:right w:val="single" w:color="000000" w:sz="4" w:space="0"/>
            </w:tcBorders>
            <w:shd w:val="clear" w:color="auto" w:fill="C0C0C0"/>
            <w:noWrap w:val="0"/>
            <w:vAlign w:val="center"/>
          </w:tcPr>
          <w:p w14:paraId="2CDF8A20">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shd w:val="clear" w:color="auto" w:fill="C0C0C0"/>
            <w:noWrap w:val="0"/>
            <w:vAlign w:val="center"/>
          </w:tcPr>
          <w:p w14:paraId="7CC0E8D0">
            <w:pPr>
              <w:jc w:val="center"/>
              <w:rPr>
                <w:rFonts w:hint="eastAsia" w:ascii="宋体" w:hAnsi="宋体" w:eastAsia="宋体" w:cs="宋体"/>
                <w:i w:val="0"/>
                <w:iCs w:val="0"/>
                <w:color w:val="000000"/>
                <w:sz w:val="20"/>
                <w:szCs w:val="20"/>
                <w:u w:val="none"/>
              </w:rPr>
            </w:pPr>
          </w:p>
        </w:tc>
      </w:tr>
      <w:tr w14:paraId="13CB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EF34E58">
            <w:pPr>
              <w:jc w:val="center"/>
              <w:rPr>
                <w:rFonts w:hint="eastAsia" w:ascii="宋体" w:hAnsi="宋体" w:eastAsia="宋体" w:cs="宋体"/>
                <w:i w:val="0"/>
                <w:iCs w:val="0"/>
                <w:color w:val="000000"/>
                <w:sz w:val="20"/>
                <w:szCs w:val="20"/>
                <w:u w:val="none"/>
              </w:rPr>
            </w:pPr>
          </w:p>
        </w:tc>
        <w:tc>
          <w:tcPr>
            <w:tcW w:w="1497" w:type="dxa"/>
            <w:vMerge w:val="continue"/>
            <w:tcBorders>
              <w:top w:val="nil"/>
              <w:left w:val="nil"/>
              <w:bottom w:val="single" w:color="000000" w:sz="4" w:space="0"/>
              <w:right w:val="single" w:color="000000" w:sz="4" w:space="0"/>
            </w:tcBorders>
            <w:shd w:val="clear" w:color="auto" w:fill="C0C0C0"/>
            <w:noWrap/>
            <w:vAlign w:val="center"/>
          </w:tcPr>
          <w:p w14:paraId="16480979">
            <w:pPr>
              <w:jc w:val="center"/>
              <w:rPr>
                <w:rFonts w:hint="eastAsia" w:ascii="宋体" w:hAnsi="宋体" w:eastAsia="宋体" w:cs="宋体"/>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val="0"/>
            <w:vAlign w:val="center"/>
          </w:tcPr>
          <w:p w14:paraId="272EFEB8">
            <w:pPr>
              <w:jc w:val="center"/>
              <w:rPr>
                <w:rFonts w:hint="eastAsia" w:ascii="宋体" w:hAnsi="宋体" w:eastAsia="宋体" w:cs="宋体"/>
                <w:i w:val="0"/>
                <w:iCs w:val="0"/>
                <w:color w:val="000000"/>
                <w:sz w:val="20"/>
                <w:szCs w:val="20"/>
                <w:u w:val="none"/>
              </w:rPr>
            </w:pPr>
          </w:p>
        </w:tc>
        <w:tc>
          <w:tcPr>
            <w:tcW w:w="1212" w:type="dxa"/>
            <w:vMerge w:val="continue"/>
            <w:tcBorders>
              <w:top w:val="nil"/>
              <w:left w:val="nil"/>
              <w:bottom w:val="single" w:color="000000" w:sz="4" w:space="0"/>
              <w:right w:val="single" w:color="000000" w:sz="4" w:space="0"/>
            </w:tcBorders>
            <w:shd w:val="clear" w:color="auto" w:fill="C0C0C0"/>
            <w:noWrap w:val="0"/>
            <w:vAlign w:val="center"/>
          </w:tcPr>
          <w:p w14:paraId="53D2B8B9">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shd w:val="clear" w:color="auto" w:fill="C0C0C0"/>
            <w:noWrap w:val="0"/>
            <w:vAlign w:val="center"/>
          </w:tcPr>
          <w:p w14:paraId="25F5073D">
            <w:pPr>
              <w:jc w:val="center"/>
              <w:rPr>
                <w:rFonts w:hint="eastAsia" w:ascii="宋体" w:hAnsi="宋体" w:eastAsia="宋体" w:cs="宋体"/>
                <w:i w:val="0"/>
                <w:iCs w:val="0"/>
                <w:color w:val="000000"/>
                <w:sz w:val="20"/>
                <w:szCs w:val="20"/>
                <w:u w:val="none"/>
              </w:rPr>
            </w:pPr>
          </w:p>
        </w:tc>
      </w:tr>
      <w:tr w14:paraId="76DB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14:paraId="19D33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73" w:type="dxa"/>
            <w:tcBorders>
              <w:top w:val="nil"/>
              <w:left w:val="nil"/>
              <w:bottom w:val="single" w:color="000000" w:sz="4" w:space="0"/>
              <w:right w:val="single" w:color="000000" w:sz="4" w:space="0"/>
            </w:tcBorders>
            <w:shd w:val="clear" w:color="auto" w:fill="C0C0C0"/>
            <w:noWrap/>
            <w:vAlign w:val="center"/>
          </w:tcPr>
          <w:p w14:paraId="44CB7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nil"/>
              <w:left w:val="nil"/>
              <w:bottom w:val="single" w:color="000000" w:sz="4" w:space="0"/>
              <w:right w:val="single" w:color="000000" w:sz="4" w:space="0"/>
            </w:tcBorders>
            <w:shd w:val="clear" w:color="auto" w:fill="C0C0C0"/>
            <w:noWrap/>
            <w:vAlign w:val="center"/>
          </w:tcPr>
          <w:p w14:paraId="05A10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1" w:type="dxa"/>
            <w:tcBorders>
              <w:top w:val="nil"/>
              <w:left w:val="nil"/>
              <w:bottom w:val="single" w:color="000000" w:sz="4" w:space="0"/>
              <w:right w:val="single" w:color="000000" w:sz="4" w:space="0"/>
            </w:tcBorders>
            <w:shd w:val="clear" w:color="auto" w:fill="C0C0C0"/>
            <w:noWrap/>
            <w:vAlign w:val="center"/>
          </w:tcPr>
          <w:p w14:paraId="1291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A50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14:paraId="2C99D6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73" w:type="dxa"/>
            <w:tcBorders>
              <w:top w:val="nil"/>
              <w:left w:val="nil"/>
              <w:bottom w:val="single" w:color="000000" w:sz="4" w:space="0"/>
              <w:right w:val="single" w:color="000000" w:sz="4" w:space="0"/>
            </w:tcBorders>
            <w:shd w:val="clear" w:color="auto" w:fill="FFFFFF"/>
            <w:noWrap/>
            <w:vAlign w:val="center"/>
          </w:tcPr>
          <w:p w14:paraId="0A267270">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212" w:type="dxa"/>
            <w:tcBorders>
              <w:top w:val="nil"/>
              <w:left w:val="nil"/>
              <w:bottom w:val="single" w:color="000000" w:sz="4" w:space="0"/>
              <w:right w:val="single" w:color="000000" w:sz="4" w:space="0"/>
            </w:tcBorders>
            <w:shd w:val="clear" w:color="auto" w:fill="FFFFFF"/>
            <w:noWrap/>
            <w:vAlign w:val="center"/>
          </w:tcPr>
          <w:p w14:paraId="34E9B89C">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2941" w:type="dxa"/>
            <w:tcBorders>
              <w:top w:val="nil"/>
              <w:left w:val="nil"/>
              <w:bottom w:val="single" w:color="000000" w:sz="4" w:space="0"/>
              <w:right w:val="single" w:color="000000" w:sz="4" w:space="0"/>
            </w:tcBorders>
            <w:shd w:val="clear" w:color="auto" w:fill="FFFFFF"/>
            <w:noWrap/>
            <w:vAlign w:val="center"/>
          </w:tcPr>
          <w:p w14:paraId="05A1934F">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46AC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6497" w:type="dxa"/>
            <w:gridSpan w:val="3"/>
            <w:tcBorders>
              <w:top w:val="nil"/>
              <w:left w:val="single" w:color="000000" w:sz="4" w:space="0"/>
              <w:bottom w:val="single" w:color="000000" w:sz="4" w:space="0"/>
              <w:right w:val="single" w:color="000000" w:sz="4" w:space="0"/>
            </w:tcBorders>
            <w:shd w:val="clear" w:color="auto" w:fill="FFFFFF"/>
            <w:noWrap/>
            <w:vAlign w:val="center"/>
          </w:tcPr>
          <w:p w14:paraId="1E1EB4BA">
            <w:pPr>
              <w:jc w:val="left"/>
              <w:rPr>
                <w:rFonts w:hint="eastAsia" w:ascii="宋体" w:hAnsi="宋体" w:eastAsia="宋体" w:cs="宋体"/>
                <w:i w:val="0"/>
                <w:iCs w:val="0"/>
                <w:color w:val="000000"/>
                <w:sz w:val="20"/>
                <w:szCs w:val="20"/>
                <w:u w:val="none"/>
              </w:rPr>
            </w:pPr>
          </w:p>
        </w:tc>
        <w:tc>
          <w:tcPr>
            <w:tcW w:w="1497" w:type="dxa"/>
            <w:tcBorders>
              <w:top w:val="nil"/>
              <w:left w:val="nil"/>
              <w:bottom w:val="single" w:color="000000" w:sz="4" w:space="0"/>
              <w:right w:val="single" w:color="000000" w:sz="4" w:space="0"/>
            </w:tcBorders>
            <w:shd w:val="clear" w:color="auto" w:fill="CCFFFF"/>
            <w:noWrap/>
            <w:vAlign w:val="center"/>
          </w:tcPr>
          <w:p w14:paraId="12403148">
            <w:pPr>
              <w:jc w:val="left"/>
              <w:rPr>
                <w:rFonts w:hint="eastAsia" w:ascii="宋体" w:hAnsi="宋体" w:eastAsia="宋体" w:cs="宋体"/>
                <w:i w:val="0"/>
                <w:iCs w:val="0"/>
                <w:color w:val="000000"/>
                <w:sz w:val="20"/>
                <w:szCs w:val="20"/>
                <w:u w:val="none"/>
              </w:rPr>
            </w:pPr>
          </w:p>
        </w:tc>
        <w:tc>
          <w:tcPr>
            <w:tcW w:w="1373" w:type="dxa"/>
            <w:tcBorders>
              <w:top w:val="nil"/>
              <w:left w:val="nil"/>
              <w:bottom w:val="single" w:color="000000" w:sz="4" w:space="0"/>
              <w:right w:val="single" w:color="000000" w:sz="4" w:space="0"/>
            </w:tcBorders>
            <w:shd w:val="clear" w:color="auto" w:fill="FFFFFF"/>
            <w:noWrap/>
            <w:vAlign w:val="center"/>
          </w:tcPr>
          <w:p w14:paraId="4290346A">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212" w:type="dxa"/>
            <w:tcBorders>
              <w:top w:val="nil"/>
              <w:left w:val="nil"/>
              <w:bottom w:val="single" w:color="000000" w:sz="4" w:space="0"/>
              <w:right w:val="single" w:color="000000" w:sz="4" w:space="0"/>
            </w:tcBorders>
            <w:shd w:val="clear" w:color="auto" w:fill="FFFFFF"/>
            <w:noWrap/>
            <w:vAlign w:val="center"/>
          </w:tcPr>
          <w:p w14:paraId="0B1D8E2E">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2941" w:type="dxa"/>
            <w:tcBorders>
              <w:top w:val="nil"/>
              <w:left w:val="nil"/>
              <w:bottom w:val="single" w:color="000000" w:sz="4" w:space="0"/>
              <w:right w:val="single" w:color="000000" w:sz="4" w:space="0"/>
            </w:tcBorders>
            <w:shd w:val="clear" w:color="auto" w:fill="FFFFFF"/>
            <w:noWrap/>
            <w:vAlign w:val="center"/>
          </w:tcPr>
          <w:p w14:paraId="27DB3C5F">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2CC0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3520" w:type="dxa"/>
            <w:gridSpan w:val="7"/>
            <w:tcBorders>
              <w:top w:val="nil"/>
              <w:left w:val="nil"/>
              <w:bottom w:val="nil"/>
              <w:right w:val="nil"/>
            </w:tcBorders>
            <w:shd w:val="clear" w:color="auto" w:fill="FFFFFF"/>
            <w:noWrap/>
            <w:vAlign w:val="center"/>
          </w:tcPr>
          <w:p w14:paraId="5DA5F9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注：本表反映部门本年度国有资本经营预算财政拨款支出情况。 </w:t>
            </w:r>
          </w:p>
          <w:p w14:paraId="5BFB9F10">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14:paraId="75AD6EF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ascii="宋体" w:hAnsi="宋体" w:eastAsia="宋体" w:cs="宋体"/>
          <w:kern w:val="0"/>
          <w:sz w:val="24"/>
          <w:szCs w:val="24"/>
          <w:lang w:val="en-US" w:eastAsia="zh-CN" w:bidi="ar-SA"/>
        </w:rPr>
      </w:pPr>
    </w:p>
    <w:p w14:paraId="40D4CE04">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7EFEAA92">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6404C8D0">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7C12C366">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0BA789E2">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3EBDACA8">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r>
        <w:rPr>
          <w:rStyle w:val="9"/>
          <w:rFonts w:hint="eastAsia" w:ascii="宋体" w:hAnsi="宋体" w:eastAsia="宋体" w:cs="宋体"/>
          <w:color w:val="333333"/>
          <w:highlight w:val="none"/>
          <w:shd w:val="clear" w:color="auto" w:fill="FFFFFF"/>
        </w:rPr>
        <w:t>第三部分：</w:t>
      </w:r>
      <w:r>
        <w:rPr>
          <w:rStyle w:val="9"/>
          <w:rFonts w:hint="eastAsia" w:ascii="宋体" w:hAnsi="宋体" w:eastAsia="宋体" w:cs="宋体"/>
          <w:color w:val="333333"/>
          <w:highlight w:val="none"/>
          <w:shd w:val="clear" w:color="auto" w:fill="FFFFFF"/>
          <w:lang w:eastAsia="zh-CN"/>
        </w:rPr>
        <w:t>2021年</w:t>
      </w:r>
      <w:r>
        <w:rPr>
          <w:rStyle w:val="9"/>
          <w:rFonts w:hint="eastAsia" w:ascii="宋体" w:hAnsi="宋体" w:eastAsia="宋体" w:cs="宋体"/>
          <w:color w:val="333333"/>
          <w:highlight w:val="none"/>
          <w:shd w:val="clear" w:color="auto" w:fill="FFFFFF"/>
        </w:rPr>
        <w:t>部门</w:t>
      </w:r>
      <w:r>
        <w:rPr>
          <w:rStyle w:val="9"/>
          <w:rFonts w:hint="eastAsia" w:ascii="宋体" w:hAnsi="宋体" w:eastAsia="宋体" w:cs="宋体"/>
          <w:color w:val="333333"/>
          <w:highlight w:val="none"/>
          <w:shd w:val="clear" w:color="auto" w:fill="FFFFFF"/>
          <w:lang w:eastAsia="zh-CN"/>
        </w:rPr>
        <w:t>决算</w:t>
      </w:r>
      <w:r>
        <w:rPr>
          <w:rStyle w:val="9"/>
          <w:rFonts w:hint="eastAsia" w:ascii="宋体" w:hAnsi="宋体" w:eastAsia="宋体" w:cs="宋体"/>
          <w:color w:val="333333"/>
          <w:highlight w:val="none"/>
          <w:shd w:val="clear" w:color="auto" w:fill="FFFFFF"/>
        </w:rPr>
        <w:t>情况说明</w:t>
      </w:r>
    </w:p>
    <w:p w14:paraId="70744569">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highlight w:val="none"/>
        </w:rPr>
      </w:pPr>
    </w:p>
    <w:p w14:paraId="3DA44704">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（一）预算</w:t>
      </w:r>
      <w:r>
        <w:rPr>
          <w:rFonts w:hint="eastAsia" w:ascii="宋体" w:hAnsi="宋体" w:eastAsia="宋体" w:cs="宋体"/>
          <w:b/>
          <w:bCs/>
          <w:sz w:val="28"/>
          <w:szCs w:val="28"/>
          <w:highlight w:val="none"/>
          <w:lang w:eastAsia="zh-CN"/>
        </w:rPr>
        <w:t>执行</w:t>
      </w:r>
      <w:r>
        <w:rPr>
          <w:rFonts w:hint="eastAsia" w:ascii="宋体" w:hAnsi="宋体" w:eastAsia="宋体" w:cs="宋体"/>
          <w:b/>
          <w:bCs/>
          <w:sz w:val="28"/>
          <w:szCs w:val="28"/>
          <w:highlight w:val="none"/>
        </w:rPr>
        <w:t>情况。</w:t>
      </w:r>
    </w:p>
    <w:p w14:paraId="680F1C0E">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年初根据上一年度人员情况确认财政下拨预算数为1077.36万元，(人员经费823.68万元，公用经费253.68万元)，全年实际支出2051.78万元(其中人员经费1151.1万元，公用经费900.68万元)增长97.44%。2020年实际支出数为1485.94万，增加565.84万元；原因是2021年机构改革后，由财政资金保障的区城管及工商局人员调入8人(其中2人退休)，新招入职事业编制人员7人</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2020年8月社区干部工资薪金上调，87名人均涨幅1000元/月，2021年支出数含2020年度8-12月份增资额</w:t>
      </w:r>
      <w:r>
        <w:rPr>
          <w:rFonts w:hint="eastAsia" w:ascii="宋体" w:hAnsi="宋体" w:cs="宋体"/>
          <w:sz w:val="28"/>
          <w:szCs w:val="28"/>
          <w:highlight w:val="none"/>
          <w:lang w:eastAsia="zh-CN"/>
        </w:rPr>
        <w:t>。</w:t>
      </w:r>
    </w:p>
    <w:p w14:paraId="518B5E66">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收入支出预算执行情况。</w:t>
      </w:r>
    </w:p>
    <w:p w14:paraId="002F9A66">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本年实际财政拨款收入2051.78万，本年实际支出2051.78万，收支一致， </w:t>
      </w:r>
    </w:p>
    <w:p w14:paraId="0C5F8F93">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收入支出与预算对比分析。</w:t>
      </w:r>
    </w:p>
    <w:p w14:paraId="39FF1374">
      <w:pPr>
        <w:widowControl/>
        <w:shd w:val="clear" w:color="auto" w:fill="FFFFFF"/>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Theme="minorEastAsia" w:hAnsiTheme="minorEastAsia" w:eastAsiaTheme="minorEastAsia" w:cstheme="minorEastAsia"/>
          <w:sz w:val="28"/>
          <w:szCs w:val="28"/>
        </w:rPr>
        <w:t>收入支出与预算对比分析。</w:t>
      </w:r>
    </w:p>
    <w:p w14:paraId="6841D5BE">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2021年预算数为1077.36万元，决算数为2051.78万元</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其中</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2021年人员经费预算823.67万元</w:t>
      </w:r>
      <w:r>
        <w:rPr>
          <w:rFonts w:hint="eastAsia" w:asciiTheme="minorEastAsia" w:hAnsiTheme="minorEastAsia" w:eastAsiaTheme="minorEastAsia" w:cstheme="minorEastAsia"/>
          <w:sz w:val="28"/>
          <w:szCs w:val="28"/>
          <w:highlight w:val="none"/>
          <w:lang w:val="en-US" w:eastAsia="zh-CN"/>
        </w:rPr>
        <w:t>（含工资福利支出、对个人及家庭补助支出）</w:t>
      </w:r>
      <w:r>
        <w:rPr>
          <w:rFonts w:hint="eastAsia" w:ascii="宋体" w:hAnsi="宋体" w:cs="宋体"/>
          <w:sz w:val="28"/>
          <w:szCs w:val="28"/>
          <w:highlight w:val="none"/>
          <w:lang w:val="en-US" w:eastAsia="zh-CN"/>
        </w:rPr>
        <w:t>，2021年实际</w:t>
      </w:r>
      <w:r>
        <w:rPr>
          <w:rFonts w:hint="eastAsia" w:ascii="宋体" w:hAnsi="宋体" w:eastAsia="宋体" w:cs="宋体"/>
          <w:sz w:val="28"/>
          <w:szCs w:val="28"/>
          <w:highlight w:val="none"/>
        </w:rPr>
        <w:t>人员经费</w:t>
      </w:r>
      <w:r>
        <w:rPr>
          <w:rFonts w:hint="eastAsia" w:ascii="宋体" w:hAnsi="宋体" w:cs="宋体"/>
          <w:sz w:val="28"/>
          <w:szCs w:val="28"/>
          <w:highlight w:val="none"/>
          <w:lang w:eastAsia="zh-CN"/>
        </w:rPr>
        <w:t>支出</w:t>
      </w:r>
      <w:r>
        <w:rPr>
          <w:rFonts w:hint="eastAsia" w:ascii="宋体" w:hAnsi="宋体" w:eastAsia="宋体" w:cs="宋体"/>
          <w:sz w:val="28"/>
          <w:szCs w:val="28"/>
          <w:highlight w:val="none"/>
        </w:rPr>
        <w:t>1151.1万元，</w:t>
      </w:r>
      <w:r>
        <w:rPr>
          <w:rFonts w:hint="eastAsia" w:ascii="宋体" w:hAnsi="宋体" w:cs="宋体"/>
          <w:sz w:val="28"/>
          <w:szCs w:val="28"/>
          <w:highlight w:val="none"/>
          <w:lang w:eastAsia="zh-CN"/>
        </w:rPr>
        <w:t>同比上年增长</w:t>
      </w:r>
      <w:r>
        <w:rPr>
          <w:rFonts w:hint="eastAsia" w:ascii="宋体" w:hAnsi="宋体" w:cs="宋体"/>
          <w:sz w:val="28"/>
          <w:szCs w:val="28"/>
          <w:highlight w:val="none"/>
          <w:lang w:val="en-US" w:eastAsia="zh-CN"/>
        </w:rPr>
        <w:t>590.85万元，涨幅原因是人员增加，社区干部薪资上调。</w:t>
      </w:r>
    </w:p>
    <w:p w14:paraId="6A319F2E">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收入支出结构分析。</w:t>
      </w:r>
    </w:p>
    <w:p w14:paraId="0974BD3D">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工资福利支出</w:t>
      </w:r>
      <w:r>
        <w:rPr>
          <w:rFonts w:hint="eastAsia" w:ascii="宋体" w:hAnsi="宋体" w:cs="宋体"/>
          <w:sz w:val="28"/>
          <w:szCs w:val="28"/>
          <w:highlight w:val="none"/>
          <w:lang w:val="en-US" w:eastAsia="zh-CN"/>
        </w:rPr>
        <w:t>1151.1万元，</w:t>
      </w:r>
      <w:r>
        <w:rPr>
          <w:rFonts w:hint="eastAsia" w:ascii="宋体" w:hAnsi="宋体" w:eastAsia="宋体" w:cs="宋体"/>
          <w:sz w:val="28"/>
          <w:szCs w:val="28"/>
          <w:highlight w:val="none"/>
        </w:rPr>
        <w:t>占比56%，</w:t>
      </w:r>
    </w:p>
    <w:p w14:paraId="5475DAD9">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商品和服务支出</w:t>
      </w:r>
      <w:r>
        <w:rPr>
          <w:rFonts w:hint="eastAsia" w:ascii="宋体" w:hAnsi="宋体" w:cs="宋体"/>
          <w:sz w:val="28"/>
          <w:szCs w:val="28"/>
          <w:highlight w:val="none"/>
          <w:lang w:val="en-US" w:eastAsia="zh-CN"/>
        </w:rPr>
        <w:t>900.68万元，</w:t>
      </w:r>
      <w:r>
        <w:rPr>
          <w:rFonts w:hint="eastAsia" w:ascii="宋体" w:hAnsi="宋体" w:eastAsia="宋体" w:cs="宋体"/>
          <w:sz w:val="28"/>
          <w:szCs w:val="28"/>
          <w:highlight w:val="none"/>
        </w:rPr>
        <w:t>占比44%</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 xml:space="preserve"> </w:t>
      </w:r>
    </w:p>
    <w:p w14:paraId="698A8300">
      <w:pPr>
        <w:keepNext w:val="0"/>
        <w:keepLines w:val="0"/>
        <w:pageBreakBefore w:val="0"/>
        <w:widowControl/>
        <w:numPr>
          <w:ilvl w:val="0"/>
          <w:numId w:val="3"/>
        </w:numPr>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财政拨款收入、支出分析。</w:t>
      </w:r>
    </w:p>
    <w:p w14:paraId="1B65F736">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2021</w:t>
      </w:r>
      <w:r>
        <w:rPr>
          <w:rFonts w:hint="eastAsia" w:ascii="宋体" w:hAnsi="宋体" w:eastAsia="宋体" w:cs="宋体"/>
          <w:sz w:val="28"/>
          <w:szCs w:val="28"/>
          <w:highlight w:val="none"/>
        </w:rPr>
        <w:t>年度</w:t>
      </w:r>
      <w:r>
        <w:rPr>
          <w:rFonts w:hint="eastAsia" w:ascii="宋体" w:hAnsi="宋体" w:cs="宋体"/>
          <w:sz w:val="28"/>
          <w:szCs w:val="28"/>
          <w:highlight w:val="none"/>
          <w:lang w:eastAsia="zh-CN"/>
        </w:rPr>
        <w:t>财政拨款</w:t>
      </w:r>
      <w:r>
        <w:rPr>
          <w:rFonts w:hint="eastAsia" w:ascii="宋体" w:hAnsi="宋体" w:cs="宋体"/>
          <w:sz w:val="28"/>
          <w:szCs w:val="28"/>
          <w:highlight w:val="none"/>
          <w:lang w:val="en-US" w:eastAsia="zh-CN"/>
        </w:rPr>
        <w:t>收入</w:t>
      </w:r>
      <w:r>
        <w:rPr>
          <w:rFonts w:hint="eastAsia" w:ascii="宋体" w:hAnsi="宋体" w:eastAsia="宋体" w:cs="宋体"/>
          <w:sz w:val="28"/>
          <w:szCs w:val="28"/>
          <w:highlight w:val="none"/>
        </w:rPr>
        <w:t>为2051.78万元，</w:t>
      </w:r>
      <w:r>
        <w:rPr>
          <w:rFonts w:hint="eastAsia" w:ascii="宋体" w:hAnsi="宋体" w:cs="宋体"/>
          <w:sz w:val="28"/>
          <w:szCs w:val="28"/>
          <w:highlight w:val="none"/>
          <w:lang w:eastAsia="zh-CN"/>
        </w:rPr>
        <w:t>与</w:t>
      </w:r>
      <w:r>
        <w:rPr>
          <w:rFonts w:hint="eastAsia" w:ascii="宋体" w:hAnsi="宋体" w:eastAsia="宋体" w:cs="宋体"/>
          <w:sz w:val="28"/>
          <w:szCs w:val="28"/>
          <w:highlight w:val="none"/>
        </w:rPr>
        <w:t>2020年</w:t>
      </w:r>
      <w:r>
        <w:rPr>
          <w:rFonts w:hint="eastAsia" w:ascii="宋体" w:hAnsi="宋体" w:cs="宋体"/>
          <w:sz w:val="28"/>
          <w:szCs w:val="28"/>
          <w:highlight w:val="none"/>
          <w:lang w:eastAsia="zh-CN"/>
        </w:rPr>
        <w:t>度相比，财政拨款支出增加</w:t>
      </w:r>
      <w:r>
        <w:rPr>
          <w:rFonts w:hint="eastAsia" w:ascii="宋体" w:hAnsi="宋体" w:cs="宋体"/>
          <w:sz w:val="28"/>
          <w:szCs w:val="28"/>
          <w:highlight w:val="none"/>
          <w:lang w:val="en-US" w:eastAsia="zh-CN"/>
        </w:rPr>
        <w:t>565.84万元，</w:t>
      </w:r>
      <w:r>
        <w:rPr>
          <w:rFonts w:hint="eastAsia" w:ascii="宋体" w:hAnsi="宋体" w:eastAsia="宋体" w:cs="宋体"/>
          <w:sz w:val="28"/>
          <w:szCs w:val="28"/>
          <w:highlight w:val="none"/>
        </w:rPr>
        <w:t>增</w:t>
      </w:r>
      <w:r>
        <w:rPr>
          <w:rFonts w:hint="eastAsia" w:ascii="宋体" w:hAnsi="宋体" w:cs="宋体"/>
          <w:sz w:val="28"/>
          <w:szCs w:val="28"/>
          <w:highlight w:val="none"/>
          <w:lang w:eastAsia="zh-CN"/>
        </w:rPr>
        <w:t>长</w:t>
      </w:r>
      <w:r>
        <w:rPr>
          <w:rFonts w:hint="eastAsia" w:ascii="宋体" w:hAnsi="宋体" w:eastAsia="宋体" w:cs="宋体"/>
          <w:sz w:val="28"/>
          <w:szCs w:val="28"/>
          <w:highlight w:val="none"/>
        </w:rPr>
        <w:t>38.08%</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主要原因为人员增加、社区干部薪资上调。2021</w:t>
      </w:r>
      <w:r>
        <w:rPr>
          <w:rFonts w:hint="eastAsia" w:ascii="宋体" w:hAnsi="宋体" w:eastAsia="宋体" w:cs="宋体"/>
          <w:sz w:val="28"/>
          <w:szCs w:val="28"/>
          <w:highlight w:val="none"/>
        </w:rPr>
        <w:t>年度</w:t>
      </w:r>
      <w:r>
        <w:rPr>
          <w:rFonts w:hint="eastAsia" w:ascii="宋体" w:hAnsi="宋体" w:cs="宋体"/>
          <w:sz w:val="28"/>
          <w:szCs w:val="28"/>
          <w:highlight w:val="none"/>
          <w:lang w:eastAsia="zh-CN"/>
        </w:rPr>
        <w:t>财政拨款</w:t>
      </w:r>
      <w:r>
        <w:rPr>
          <w:rFonts w:hint="eastAsia" w:ascii="宋体" w:hAnsi="宋体" w:eastAsia="宋体" w:cs="宋体"/>
          <w:sz w:val="28"/>
          <w:szCs w:val="28"/>
          <w:highlight w:val="none"/>
        </w:rPr>
        <w:t>支出为2051.78万元，</w:t>
      </w:r>
      <w:r>
        <w:rPr>
          <w:rFonts w:hint="eastAsia" w:ascii="宋体" w:hAnsi="宋体" w:cs="宋体"/>
          <w:sz w:val="28"/>
          <w:szCs w:val="28"/>
          <w:highlight w:val="none"/>
          <w:lang w:eastAsia="zh-CN"/>
        </w:rPr>
        <w:t>与</w:t>
      </w:r>
      <w:r>
        <w:rPr>
          <w:rFonts w:hint="eastAsia" w:ascii="宋体" w:hAnsi="宋体" w:eastAsia="宋体" w:cs="宋体"/>
          <w:sz w:val="28"/>
          <w:szCs w:val="28"/>
          <w:highlight w:val="none"/>
        </w:rPr>
        <w:t>2020年</w:t>
      </w:r>
      <w:r>
        <w:rPr>
          <w:rFonts w:hint="eastAsia" w:ascii="宋体" w:hAnsi="宋体" w:cs="宋体"/>
          <w:sz w:val="28"/>
          <w:szCs w:val="28"/>
          <w:highlight w:val="none"/>
          <w:lang w:eastAsia="zh-CN"/>
        </w:rPr>
        <w:t>度相比，财政拨款支出增加</w:t>
      </w:r>
      <w:r>
        <w:rPr>
          <w:rFonts w:hint="eastAsia" w:ascii="宋体" w:hAnsi="宋体" w:cs="宋体"/>
          <w:sz w:val="28"/>
          <w:szCs w:val="28"/>
          <w:highlight w:val="none"/>
          <w:lang w:val="en-US" w:eastAsia="zh-CN"/>
        </w:rPr>
        <w:t>565.84万元，</w:t>
      </w:r>
      <w:r>
        <w:rPr>
          <w:rFonts w:hint="eastAsia" w:ascii="宋体" w:hAnsi="宋体" w:eastAsia="宋体" w:cs="宋体"/>
          <w:sz w:val="28"/>
          <w:szCs w:val="28"/>
          <w:highlight w:val="none"/>
        </w:rPr>
        <w:t>增</w:t>
      </w:r>
      <w:r>
        <w:rPr>
          <w:rFonts w:hint="eastAsia" w:ascii="宋体" w:hAnsi="宋体" w:cs="宋体"/>
          <w:sz w:val="28"/>
          <w:szCs w:val="28"/>
          <w:highlight w:val="none"/>
          <w:lang w:eastAsia="zh-CN"/>
        </w:rPr>
        <w:t>长</w:t>
      </w:r>
      <w:r>
        <w:rPr>
          <w:rFonts w:hint="eastAsia" w:ascii="宋体" w:hAnsi="宋体" w:eastAsia="宋体" w:cs="宋体"/>
          <w:sz w:val="28"/>
          <w:szCs w:val="28"/>
          <w:highlight w:val="none"/>
        </w:rPr>
        <w:t>38.08%</w:t>
      </w:r>
      <w:r>
        <w:rPr>
          <w:rFonts w:hint="eastAsia" w:ascii="宋体" w:hAnsi="宋体" w:cs="宋体"/>
          <w:sz w:val="28"/>
          <w:szCs w:val="28"/>
          <w:highlight w:val="none"/>
          <w:lang w:eastAsia="zh-CN"/>
        </w:rPr>
        <w:t>。其中，</w:t>
      </w:r>
      <w:r>
        <w:rPr>
          <w:rFonts w:hint="eastAsia" w:ascii="宋体" w:hAnsi="宋体" w:cs="宋体"/>
          <w:sz w:val="28"/>
          <w:szCs w:val="28"/>
          <w:highlight w:val="none"/>
          <w:lang w:val="en-US" w:eastAsia="zh-CN"/>
        </w:rPr>
        <w:t>2021年</w:t>
      </w:r>
      <w:r>
        <w:rPr>
          <w:rFonts w:hint="eastAsia" w:ascii="宋体" w:hAnsi="宋体" w:eastAsia="宋体" w:cs="宋体"/>
          <w:sz w:val="28"/>
          <w:szCs w:val="28"/>
          <w:highlight w:val="none"/>
        </w:rPr>
        <w:t>人员经费</w:t>
      </w:r>
      <w:r>
        <w:rPr>
          <w:rFonts w:hint="eastAsia" w:ascii="宋体" w:hAnsi="宋体" w:cs="宋体"/>
          <w:sz w:val="28"/>
          <w:szCs w:val="28"/>
          <w:highlight w:val="none"/>
          <w:lang w:eastAsia="zh-CN"/>
        </w:rPr>
        <w:t>支出</w:t>
      </w:r>
      <w:r>
        <w:rPr>
          <w:rFonts w:hint="eastAsia" w:ascii="宋体" w:hAnsi="宋体" w:eastAsia="宋体" w:cs="宋体"/>
          <w:sz w:val="28"/>
          <w:szCs w:val="28"/>
          <w:highlight w:val="none"/>
        </w:rPr>
        <w:t>1151.1万元，</w:t>
      </w:r>
      <w:r>
        <w:rPr>
          <w:rFonts w:hint="eastAsia" w:ascii="宋体" w:hAnsi="宋体" w:cs="宋体"/>
          <w:sz w:val="28"/>
          <w:szCs w:val="28"/>
          <w:highlight w:val="none"/>
          <w:lang w:eastAsia="zh-CN"/>
        </w:rPr>
        <w:t>同比上年增长</w:t>
      </w:r>
      <w:r>
        <w:rPr>
          <w:rFonts w:hint="eastAsia" w:ascii="宋体" w:hAnsi="宋体" w:cs="宋体"/>
          <w:sz w:val="28"/>
          <w:szCs w:val="28"/>
          <w:highlight w:val="none"/>
          <w:lang w:val="en-US" w:eastAsia="zh-CN"/>
        </w:rPr>
        <w:t>590.85万元，公用经费支出900.68万元，同比上年减少25.01万元，主要原因为人员增加、社区干部薪资上调</w:t>
      </w:r>
      <w:r>
        <w:rPr>
          <w:rFonts w:hint="eastAsia" w:ascii="宋体" w:hAnsi="宋体" w:eastAsia="宋体" w:cs="宋体"/>
          <w:sz w:val="28"/>
          <w:szCs w:val="28"/>
          <w:highlight w:val="none"/>
        </w:rPr>
        <w:t>。</w:t>
      </w:r>
    </w:p>
    <w:p w14:paraId="7D0F34FB">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度</w:t>
      </w:r>
      <w:r>
        <w:rPr>
          <w:rFonts w:hint="eastAsia" w:ascii="宋体" w:hAnsi="宋体"/>
          <w:color w:val="000000"/>
          <w:spacing w:val="2"/>
          <w:sz w:val="28"/>
          <w:szCs w:val="28"/>
          <w:highlight w:val="none"/>
        </w:rPr>
        <w:t>一般公共预算财政拨款支出年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预算为</w:t>
      </w:r>
      <w:r>
        <w:rPr>
          <w:rFonts w:hint="eastAsia" w:ascii="宋体" w:hAnsi="宋体" w:eastAsia="宋体" w:cs="宋体"/>
          <w:sz w:val="28"/>
          <w:szCs w:val="28"/>
          <w:highlight w:val="none"/>
        </w:rPr>
        <w:t>1077.36万元</w:t>
      </w:r>
      <w:r>
        <w:rPr>
          <w:rFonts w:hint="eastAsia" w:ascii="宋体" w:hAnsi="宋体" w:cs="宋体"/>
          <w:sz w:val="28"/>
          <w:szCs w:val="28"/>
          <w:highlight w:val="none"/>
          <w:lang w:eastAsia="zh-CN"/>
        </w:rPr>
        <w:t>，支出决算</w:t>
      </w:r>
      <w:r>
        <w:rPr>
          <w:rFonts w:hint="eastAsia" w:ascii="宋体" w:hAnsi="宋体" w:cs="宋体"/>
          <w:sz w:val="28"/>
          <w:szCs w:val="28"/>
          <w:highlight w:val="none"/>
          <w:lang w:val="en-US" w:eastAsia="zh-CN"/>
        </w:rPr>
        <w:t>2051.78万元，</w:t>
      </w:r>
      <w:r>
        <w:rPr>
          <w:rFonts w:hint="eastAsia" w:ascii="宋体" w:hAnsi="宋体"/>
          <w:color w:val="000000"/>
          <w:spacing w:val="2"/>
          <w:sz w:val="28"/>
          <w:szCs w:val="28"/>
          <w:highlight w:val="none"/>
          <w:lang w:val="en-US" w:eastAsia="zh-CN"/>
        </w:rPr>
        <w:t>超出</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预算的</w:t>
      </w:r>
      <w:r>
        <w:rPr>
          <w:rFonts w:hint="eastAsia" w:ascii="宋体" w:hAnsi="宋体"/>
          <w:color w:val="000000"/>
          <w:spacing w:val="2"/>
          <w:sz w:val="28"/>
          <w:szCs w:val="28"/>
          <w:highlight w:val="none"/>
          <w:lang w:val="en-US" w:eastAsia="zh-CN"/>
        </w:rPr>
        <w:t>904.45</w:t>
      </w:r>
      <w:r>
        <w:rPr>
          <w:rFonts w:hint="eastAsia" w:ascii="宋体" w:hAnsi="宋体"/>
          <w:color w:val="000000"/>
          <w:spacing w:val="2"/>
          <w:sz w:val="28"/>
          <w:szCs w:val="28"/>
          <w:highlight w:val="none"/>
        </w:rPr>
        <w:t>%</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主要是人员经费和公用经费均有所增加。</w:t>
      </w:r>
      <w:r>
        <w:rPr>
          <w:rFonts w:hint="eastAsia" w:ascii="宋体" w:hAnsi="宋体"/>
          <w:color w:val="000000"/>
          <w:spacing w:val="2"/>
          <w:sz w:val="28"/>
          <w:szCs w:val="28"/>
          <w:highlight w:val="none"/>
        </w:rPr>
        <w:t>支出决算数</w:t>
      </w:r>
      <w:r>
        <w:rPr>
          <w:rFonts w:hint="eastAsia" w:ascii="宋体" w:hAnsi="宋体"/>
          <w:color w:val="000000"/>
          <w:spacing w:val="2"/>
          <w:sz w:val="28"/>
          <w:szCs w:val="28"/>
          <w:highlight w:val="none"/>
          <w:lang w:eastAsia="zh-CN"/>
        </w:rPr>
        <w:t>大</w:t>
      </w:r>
      <w:r>
        <w:rPr>
          <w:rFonts w:hint="eastAsia" w:ascii="宋体" w:hAnsi="宋体"/>
          <w:color w:val="000000"/>
          <w:spacing w:val="2"/>
          <w:sz w:val="28"/>
          <w:szCs w:val="28"/>
          <w:highlight w:val="none"/>
        </w:rPr>
        <w:t>于年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预算数的主要原因</w:t>
      </w:r>
      <w:r>
        <w:rPr>
          <w:rFonts w:hint="eastAsia" w:ascii="宋体" w:hAnsi="宋体"/>
          <w:color w:val="000000"/>
          <w:spacing w:val="2"/>
          <w:sz w:val="28"/>
          <w:szCs w:val="28"/>
          <w:highlight w:val="none"/>
          <w:lang w:eastAsia="zh-CN"/>
        </w:rPr>
        <w:t>：</w:t>
      </w:r>
      <w:r>
        <w:rPr>
          <w:rFonts w:hint="eastAsia" w:ascii="宋体" w:hAnsi="宋体" w:eastAsia="宋体" w:cs="宋体"/>
          <w:sz w:val="28"/>
          <w:szCs w:val="28"/>
          <w:highlight w:val="none"/>
        </w:rPr>
        <w:t>2021年机构改革后，由财政资金保障的区城管及工商局人员调入8人(其中2人退休)，新招入职事业编制人员7人</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2020年8月社区干部工资薪金上调，87名人均涨幅1000元/月，2021年支出数含2020年度8-12月份增资额。同时存在社区各类专项资金年初也并未纳入预算，年中发生时申请拨入。</w:t>
      </w:r>
    </w:p>
    <w:p w14:paraId="15378DD2">
      <w:pPr>
        <w:keepNext w:val="0"/>
        <w:keepLines w:val="0"/>
        <w:pageBreakBefore w:val="0"/>
        <w:widowControl/>
        <w:shd w:val="clear" w:color="auto" w:fill="FFFFFF"/>
        <w:kinsoku/>
        <w:overflowPunct/>
        <w:topLinePunct w:val="0"/>
        <w:autoSpaceDE/>
        <w:autoSpaceDN/>
        <w:bidi w:val="0"/>
        <w:adjustRightInd/>
        <w:spacing w:before="40"/>
        <w:ind w:firstLine="281" w:firstLineChars="1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（二）关于“三公”经费支出说明</w:t>
      </w:r>
    </w:p>
    <w:p w14:paraId="398043FF">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2021年“三公”经费</w:t>
      </w:r>
      <w:r>
        <w:rPr>
          <w:rFonts w:hint="eastAsia" w:asciiTheme="minorEastAsia" w:hAnsiTheme="minorEastAsia" w:cstheme="minorEastAsia"/>
          <w:sz w:val="28"/>
          <w:szCs w:val="28"/>
          <w:lang w:val="en-US" w:eastAsia="zh-CN"/>
        </w:rPr>
        <w:t>年初预算0元，</w:t>
      </w:r>
      <w:r>
        <w:rPr>
          <w:rFonts w:hint="eastAsia" w:asciiTheme="minorEastAsia" w:hAnsiTheme="minorEastAsia" w:eastAsiaTheme="minorEastAsia" w:cstheme="minorEastAsia"/>
          <w:sz w:val="28"/>
          <w:szCs w:val="28"/>
        </w:rPr>
        <w:t>决算总支出0元，与2020年度持平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其中：</w:t>
      </w:r>
    </w:p>
    <w:p w14:paraId="2F1AFE0E">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我部门因</w:t>
      </w:r>
      <w:r>
        <w:rPr>
          <w:rFonts w:hint="eastAsia" w:asciiTheme="minorEastAsia" w:hAnsiTheme="minorEastAsia" w:eastAsiaTheme="minorEastAsia" w:cstheme="minorEastAsia"/>
          <w:sz w:val="28"/>
          <w:szCs w:val="28"/>
        </w:rPr>
        <w:t>公出国（境）团组数0、人数0，与2020年度持平</w:t>
      </w:r>
    </w:p>
    <w:p w14:paraId="6CBF5445">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14:paraId="3C507FE2">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cstheme="minorEastAsia"/>
          <w:sz w:val="28"/>
          <w:szCs w:val="28"/>
          <w:lang w:val="en-US" w:eastAsia="zh-CN"/>
        </w:rPr>
        <w:t>公务车实物量0，保有量0，与2020年度持平；</w:t>
      </w:r>
    </w:p>
    <w:p w14:paraId="5794D24F">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0B54E494">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公务接待费0元，年初预算数0元，决算数比预算数增加0元，增长幅度为0%；</w:t>
      </w:r>
      <w:r>
        <w:rPr>
          <w:rFonts w:hint="eastAsia" w:asciiTheme="minorEastAsia" w:hAnsiTheme="minorEastAsia" w:cstheme="minorEastAsia"/>
          <w:sz w:val="28"/>
          <w:szCs w:val="28"/>
          <w:lang w:val="en-US" w:eastAsia="zh-CN"/>
        </w:rPr>
        <w:t>我部门公务接待批次0，公务接待人数0，与2020年度持平；</w:t>
      </w:r>
    </w:p>
    <w:p w14:paraId="22A4CBDB">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yellow"/>
          <w:lang w:val="en-US" w:eastAsia="zh-CN"/>
        </w:rPr>
      </w:pPr>
      <w:r>
        <w:rPr>
          <w:rFonts w:hint="eastAsia" w:ascii="宋体" w:hAnsi="宋体" w:eastAsia="宋体" w:cs="宋体"/>
          <w:b/>
          <w:bCs/>
          <w:sz w:val="28"/>
          <w:szCs w:val="28"/>
          <w:highlight w:val="none"/>
        </w:rPr>
        <w:t>（三）关于机关运行经费支出说明</w:t>
      </w:r>
    </w:p>
    <w:p w14:paraId="3546D582">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sz w:val="28"/>
          <w:szCs w:val="28"/>
          <w:highlight w:val="none"/>
        </w:rPr>
        <w:t>本部门</w:t>
      </w:r>
      <w:r>
        <w:rPr>
          <w:rFonts w:hint="eastAsia" w:asciiTheme="minorEastAsia" w:hAnsiTheme="minorEastAsia" w:cstheme="minorEastAsia"/>
          <w:sz w:val="28"/>
          <w:szCs w:val="28"/>
          <w:highlight w:val="none"/>
          <w:lang w:val="en-US" w:eastAsia="zh-CN"/>
        </w:rPr>
        <w:t>2021</w:t>
      </w:r>
      <w:r>
        <w:rPr>
          <w:rFonts w:hint="eastAsia" w:asciiTheme="minorEastAsia" w:hAnsiTheme="minorEastAsia" w:eastAsiaTheme="minorEastAsia" w:cstheme="minorEastAsia"/>
          <w:sz w:val="28"/>
          <w:szCs w:val="28"/>
          <w:highlight w:val="none"/>
        </w:rPr>
        <w:t>年度机关运行经费支出</w:t>
      </w:r>
      <w:r>
        <w:rPr>
          <w:rFonts w:hint="eastAsia" w:ascii="宋体" w:hAnsi="宋体" w:eastAsia="宋体" w:cs="宋体"/>
          <w:sz w:val="28"/>
          <w:szCs w:val="28"/>
          <w:highlight w:val="none"/>
          <w:lang w:val="en-US" w:eastAsia="zh-CN"/>
        </w:rPr>
        <w:t>900.6</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万元</w:t>
      </w:r>
      <w:r>
        <w:rPr>
          <w:rFonts w:hint="eastAsia" w:asciiTheme="minorEastAsia" w:hAnsiTheme="minorEastAsia" w:eastAsiaTheme="minorEastAsia" w:cstheme="minorEastAsia"/>
          <w:sz w:val="28"/>
          <w:szCs w:val="28"/>
          <w:highlight w:val="none"/>
        </w:rPr>
        <w:t>，与2020年决算数</w:t>
      </w:r>
      <w:r>
        <w:rPr>
          <w:rFonts w:hint="eastAsia" w:ascii="宋体" w:hAnsi="宋体" w:cs="宋体"/>
          <w:sz w:val="28"/>
          <w:szCs w:val="28"/>
          <w:highlight w:val="none"/>
          <w:lang w:val="en-US" w:eastAsia="zh-CN"/>
        </w:rPr>
        <w:t>925.7</w:t>
      </w:r>
      <w:r>
        <w:rPr>
          <w:rFonts w:hint="eastAsia" w:asciiTheme="minorEastAsia" w:hAnsiTheme="minorEastAsia" w:eastAsiaTheme="minorEastAsia" w:cstheme="minorEastAsia"/>
          <w:sz w:val="28"/>
          <w:szCs w:val="28"/>
          <w:highlight w:val="none"/>
        </w:rPr>
        <w:t>万元</w:t>
      </w:r>
      <w:r>
        <w:rPr>
          <w:rFonts w:hint="eastAsia" w:asciiTheme="minorEastAsia" w:hAnsiTheme="minorEastAsia" w:eastAsiaTheme="minorEastAsia" w:cstheme="minorEastAsia"/>
          <w:sz w:val="28"/>
          <w:szCs w:val="28"/>
          <w:highlight w:val="none"/>
          <w:lang w:eastAsia="zh-CN"/>
        </w:rPr>
        <w:t>减少</w:t>
      </w:r>
      <w:r>
        <w:rPr>
          <w:rFonts w:hint="eastAsia" w:asciiTheme="minorEastAsia" w:hAnsiTheme="minorEastAsia" w:eastAsiaTheme="minorEastAsia" w:cstheme="minorEastAsia"/>
          <w:sz w:val="28"/>
          <w:szCs w:val="28"/>
          <w:highlight w:val="none"/>
        </w:rPr>
        <w:t>了</w:t>
      </w:r>
      <w:r>
        <w:rPr>
          <w:rFonts w:hint="eastAsia" w:asciiTheme="minorEastAsia" w:hAnsiTheme="minorEastAsia" w:cstheme="minorEastAsia"/>
          <w:sz w:val="28"/>
          <w:szCs w:val="28"/>
          <w:highlight w:val="none"/>
          <w:lang w:val="en-US" w:eastAsia="zh-CN"/>
        </w:rPr>
        <w:t>25.02</w:t>
      </w:r>
      <w:r>
        <w:rPr>
          <w:rFonts w:hint="eastAsia" w:asciiTheme="minorEastAsia" w:hAnsiTheme="minorEastAsia" w:eastAsiaTheme="minorEastAsia" w:cstheme="minorEastAsia"/>
          <w:sz w:val="28"/>
          <w:szCs w:val="28"/>
          <w:highlight w:val="none"/>
        </w:rPr>
        <w:t>万元，较2021年预算数</w:t>
      </w:r>
      <w:r>
        <w:rPr>
          <w:rFonts w:hint="eastAsia" w:asciiTheme="minorEastAsia" w:hAnsiTheme="minorEastAsia" w:cstheme="minorEastAsia"/>
          <w:sz w:val="28"/>
          <w:szCs w:val="28"/>
          <w:highlight w:val="none"/>
          <w:lang w:val="en-US" w:eastAsia="zh-CN"/>
        </w:rPr>
        <w:t>599.14</w:t>
      </w:r>
      <w:r>
        <w:rPr>
          <w:rFonts w:hint="eastAsia" w:asciiTheme="minorEastAsia" w:hAnsiTheme="minorEastAsia" w:eastAsiaTheme="minorEastAsia" w:cstheme="minorEastAsia"/>
          <w:sz w:val="28"/>
          <w:szCs w:val="28"/>
          <w:highlight w:val="none"/>
        </w:rPr>
        <w:t>万元增加了</w:t>
      </w:r>
      <w:r>
        <w:rPr>
          <w:rFonts w:hint="eastAsia" w:asciiTheme="minorEastAsia" w:hAnsiTheme="minorEastAsia" w:cstheme="minorEastAsia"/>
          <w:sz w:val="28"/>
          <w:szCs w:val="28"/>
          <w:highlight w:val="none"/>
          <w:lang w:val="en-US" w:eastAsia="zh-CN"/>
        </w:rPr>
        <w:t>301.54</w:t>
      </w:r>
      <w:r>
        <w:rPr>
          <w:rFonts w:hint="eastAsia" w:asciiTheme="minorEastAsia" w:hAnsiTheme="minorEastAsia" w:eastAsiaTheme="minorEastAsia" w:cstheme="minorEastAsia"/>
          <w:sz w:val="28"/>
          <w:szCs w:val="28"/>
          <w:highlight w:val="none"/>
        </w:rPr>
        <w:t>万元。主</w:t>
      </w:r>
      <w:r>
        <w:rPr>
          <w:rFonts w:hint="eastAsia" w:ascii="宋体" w:hAnsi="宋体"/>
          <w:color w:val="000000"/>
          <w:spacing w:val="2"/>
          <w:sz w:val="28"/>
          <w:szCs w:val="28"/>
          <w:highlight w:val="none"/>
          <w:lang w:val="en-US" w:eastAsia="zh-CN"/>
        </w:rPr>
        <w:t>要用于办公及印刷费、邮电费、差旅费、培训费、日常维修费、办公设备购置费、办公用房水电费、劳务费、委托业务费、工会经费、福利费以及其他费用，比2020年预算数408.66万增加了190.48万元，增长46.61%。主要原因是劳务费增加。</w:t>
      </w:r>
    </w:p>
    <w:p w14:paraId="60CF587C">
      <w:pPr>
        <w:keepNext w:val="0"/>
        <w:keepLines w:val="0"/>
        <w:pageBreakBefore w:val="0"/>
        <w:widowControl/>
        <w:numPr>
          <w:ilvl w:val="0"/>
          <w:numId w:val="4"/>
        </w:numPr>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关于政府采购支出说明</w:t>
      </w:r>
    </w:p>
    <w:p w14:paraId="5B989E88">
      <w:pPr>
        <w:keepNext w:val="0"/>
        <w:keepLines w:val="0"/>
        <w:pageBreakBefore w:val="0"/>
        <w:widowControl/>
        <w:numPr>
          <w:ilvl w:val="0"/>
          <w:numId w:val="0"/>
        </w:numPr>
        <w:shd w:val="clear" w:color="auto" w:fill="FFFFFF"/>
        <w:kinsoku/>
        <w:overflowPunct/>
        <w:topLinePunct w:val="0"/>
        <w:autoSpaceDE/>
        <w:autoSpaceDN/>
        <w:bidi w:val="0"/>
        <w:adjustRightInd/>
        <w:spacing w:before="40"/>
        <w:ind w:left="480" w:leftChars="0"/>
        <w:jc w:val="left"/>
        <w:textAlignment w:val="auto"/>
        <w:rPr>
          <w:rFonts w:hint="eastAsia" w:ascii="宋体" w:hAnsi="宋体" w:eastAsia="宋体" w:cs="宋体"/>
          <w:b/>
          <w:bCs/>
          <w:sz w:val="28"/>
          <w:szCs w:val="28"/>
        </w:rPr>
      </w:pPr>
      <w:r>
        <w:rPr>
          <w:rFonts w:hint="eastAsia" w:ascii="宋体" w:hAnsi="宋体" w:eastAsia="宋体" w:cs="宋体"/>
          <w:sz w:val="28"/>
          <w:szCs w:val="28"/>
          <w:highlight w:val="none"/>
        </w:rPr>
        <w:t>2021年度政府采购支出总额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万元，其中：政府采购货物支出</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万元、政府采购工程支出0万元、政府采购服务支出0万元。授予中小企业合同金额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万元，占政府采购支出总额的</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0%，其中：授予小微企业合同金额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万元，占政府采购支出总额的</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0%。</w:t>
      </w:r>
    </w:p>
    <w:p w14:paraId="4F3EE669">
      <w:pPr>
        <w:keepNext w:val="0"/>
        <w:keepLines w:val="0"/>
        <w:pageBreakBefore w:val="0"/>
        <w:widowControl/>
        <w:numPr>
          <w:ilvl w:val="0"/>
          <w:numId w:val="4"/>
        </w:numPr>
        <w:shd w:val="clear" w:color="auto" w:fill="FFFFFF"/>
        <w:kinsoku/>
        <w:overflowPunct/>
        <w:topLinePunct w:val="0"/>
        <w:autoSpaceDE/>
        <w:autoSpaceDN/>
        <w:bidi w:val="0"/>
        <w:adjustRightInd/>
        <w:spacing w:before="40"/>
        <w:ind w:left="0" w:leftChars="0" w:firstLine="480" w:firstLineChars="0"/>
        <w:jc w:val="left"/>
        <w:textAlignment w:val="auto"/>
        <w:rPr>
          <w:rFonts w:hint="eastAsia" w:asciiTheme="minorEastAsia" w:hAnsiTheme="minorEastAsia" w:eastAsiaTheme="minorEastAsia" w:cstheme="minorEastAsia"/>
          <w:sz w:val="28"/>
          <w:szCs w:val="28"/>
          <w:highlight w:val="none"/>
        </w:rPr>
      </w:pPr>
      <w:r>
        <w:rPr>
          <w:rFonts w:hint="eastAsia" w:ascii="宋体" w:hAnsi="宋体" w:eastAsia="宋体" w:cs="宋体"/>
          <w:b/>
          <w:bCs/>
          <w:sz w:val="28"/>
          <w:szCs w:val="28"/>
        </w:rPr>
        <w:t>国有资产占用情况说明</w:t>
      </w:r>
    </w:p>
    <w:p w14:paraId="51385D18">
      <w:pPr>
        <w:keepNext w:val="0"/>
        <w:keepLines w:val="0"/>
        <w:pageBreakBefore w:val="0"/>
        <w:widowControl/>
        <w:numPr>
          <w:ilvl w:val="0"/>
          <w:numId w:val="0"/>
        </w:numPr>
        <w:shd w:val="clear" w:color="auto" w:fill="FFFFFF"/>
        <w:kinsoku/>
        <w:overflowPunct/>
        <w:topLinePunct w:val="0"/>
        <w:autoSpaceDE/>
        <w:autoSpaceDN/>
        <w:bidi w:val="0"/>
        <w:adjustRightInd/>
        <w:spacing w:before="40"/>
        <w:ind w:left="480" w:leftChars="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r>
        <w:rPr>
          <w:rFonts w:hint="eastAsia" w:asciiTheme="minorEastAsia" w:hAnsiTheme="minorEastAsia" w:eastAsiaTheme="minorEastAsia" w:cstheme="minorEastAsia"/>
          <w:sz w:val="28"/>
          <w:szCs w:val="28"/>
          <w:highlight w:val="none"/>
        </w:rPr>
        <w:t xml:space="preserve"> </w:t>
      </w:r>
    </w:p>
    <w:p w14:paraId="0ABCBCEF">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85" w:lineRule="atLeast"/>
        <w:ind w:firstLine="281" w:firstLineChars="1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（六）</w:t>
      </w:r>
      <w:r>
        <w:rPr>
          <w:rFonts w:hint="eastAsia" w:ascii="宋体" w:hAnsi="宋体" w:eastAsia="宋体" w:cs="宋体"/>
          <w:b/>
          <w:sz w:val="28"/>
          <w:szCs w:val="28"/>
          <w:highlight w:val="none"/>
        </w:rPr>
        <w:t>重点项目</w:t>
      </w:r>
      <w:r>
        <w:rPr>
          <w:rFonts w:hint="eastAsia" w:ascii="宋体" w:hAnsi="宋体" w:eastAsia="宋体" w:cs="宋体"/>
          <w:b/>
          <w:sz w:val="28"/>
          <w:szCs w:val="28"/>
          <w:highlight w:val="none"/>
          <w:lang w:eastAsia="zh-CN"/>
        </w:rPr>
        <w:t>决算</w:t>
      </w:r>
      <w:r>
        <w:rPr>
          <w:rFonts w:hint="eastAsia" w:ascii="宋体" w:hAnsi="宋体" w:eastAsia="宋体" w:cs="宋体"/>
          <w:b/>
          <w:sz w:val="28"/>
          <w:szCs w:val="28"/>
          <w:highlight w:val="none"/>
        </w:rPr>
        <w:t>绩效目标等</w:t>
      </w:r>
      <w:r>
        <w:rPr>
          <w:rFonts w:hint="eastAsia" w:ascii="宋体" w:hAnsi="宋体" w:eastAsia="宋体" w:cs="宋体"/>
          <w:b/>
          <w:sz w:val="28"/>
          <w:szCs w:val="28"/>
          <w:highlight w:val="none"/>
          <w:lang w:eastAsia="zh-CN"/>
        </w:rPr>
        <w:t>决算</w:t>
      </w:r>
      <w:r>
        <w:rPr>
          <w:rFonts w:hint="eastAsia" w:ascii="宋体" w:hAnsi="宋体" w:eastAsia="宋体" w:cs="宋体"/>
          <w:b/>
          <w:sz w:val="28"/>
          <w:szCs w:val="28"/>
          <w:highlight w:val="none"/>
        </w:rPr>
        <w:t>绩效情况说明</w:t>
      </w:r>
    </w:p>
    <w:p w14:paraId="59425C80">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24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创文经费</w:t>
      </w:r>
      <w:r>
        <w:rPr>
          <w:rFonts w:hint="eastAsia" w:ascii="宋体" w:hAnsi="宋体" w:eastAsia="宋体" w:cs="宋体"/>
          <w:b w:val="0"/>
          <w:bCs/>
          <w:sz w:val="28"/>
          <w:szCs w:val="28"/>
          <w:highlight w:val="none"/>
          <w:lang w:val="en-US" w:eastAsia="zh-CN"/>
        </w:rPr>
        <w:t>都是按先用后拨付的原则</w:t>
      </w:r>
      <w:r>
        <w:rPr>
          <w:rFonts w:hint="eastAsia" w:ascii="宋体" w:hAnsi="宋体" w:eastAsia="宋体" w:cs="宋体"/>
          <w:sz w:val="28"/>
          <w:szCs w:val="28"/>
          <w:highlight w:val="none"/>
        </w:rPr>
        <w:t>以老旧小区改造为重点，推进辖区从形象、以老旧小区改造为重点，</w:t>
      </w:r>
      <w:r>
        <w:rPr>
          <w:rFonts w:hint="eastAsia" w:ascii="宋体" w:hAnsi="宋体" w:eastAsia="宋体" w:cs="宋体"/>
          <w:sz w:val="28"/>
          <w:szCs w:val="28"/>
          <w:highlight w:val="none"/>
          <w:lang w:eastAsia="zh-CN"/>
        </w:rPr>
        <w:t>保持创文工作常化，</w:t>
      </w:r>
      <w:r>
        <w:rPr>
          <w:rFonts w:hint="eastAsia" w:ascii="宋体" w:hAnsi="宋体" w:eastAsia="宋体" w:cs="宋体"/>
          <w:sz w:val="28"/>
          <w:szCs w:val="28"/>
          <w:highlight w:val="none"/>
        </w:rPr>
        <w:t>推进辖区从形象、品质到城市功能全方位提升</w:t>
      </w:r>
      <w:r>
        <w:rPr>
          <w:rFonts w:hint="eastAsia" w:ascii="宋体" w:hAnsi="宋体" w:eastAsia="宋体" w:cs="宋体"/>
          <w:b w:val="0"/>
          <w:bCs/>
          <w:sz w:val="28"/>
          <w:szCs w:val="28"/>
          <w:highlight w:val="none"/>
          <w:lang w:val="en-US" w:eastAsia="zh-CN"/>
        </w:rPr>
        <w:t>进行，用款共计188000其中：（1）</w:t>
      </w:r>
      <w:r>
        <w:rPr>
          <w:rFonts w:hint="eastAsia" w:ascii="宋体" w:hAnsi="宋体" w:eastAsia="宋体" w:cs="宋体"/>
          <w:sz w:val="28"/>
          <w:szCs w:val="28"/>
          <w:highlight w:val="none"/>
          <w:lang w:eastAsia="zh-CN"/>
        </w:rPr>
        <w:t>区城管局拨胜阳港街道创文迎国检增补人员经费78000元；按实际人数和天数，每人</w:t>
      </w:r>
      <w:r>
        <w:rPr>
          <w:rFonts w:hint="eastAsia" w:ascii="宋体" w:hAnsi="宋体" w:eastAsia="宋体" w:cs="宋体"/>
          <w:sz w:val="28"/>
          <w:szCs w:val="28"/>
          <w:highlight w:val="none"/>
          <w:lang w:val="en-US" w:eastAsia="zh-CN"/>
        </w:rPr>
        <w:t>100元/人</w:t>
      </w:r>
      <w:r>
        <w:rPr>
          <w:rFonts w:hint="eastAsia" w:ascii="宋体" w:hAnsi="宋体" w:eastAsia="宋体" w:cs="宋体"/>
          <w:sz w:val="28"/>
          <w:szCs w:val="28"/>
          <w:highlight w:val="none"/>
          <w:lang w:eastAsia="zh-CN"/>
        </w:rPr>
        <w:t xml:space="preserve">拨付 。               </w:t>
      </w:r>
      <w:r>
        <w:rPr>
          <w:rFonts w:hint="eastAsia" w:ascii="宋体" w:hAnsi="宋体" w:eastAsia="宋体" w:cs="宋体"/>
          <w:sz w:val="28"/>
          <w:szCs w:val="28"/>
          <w:highlight w:val="none"/>
          <w:lang w:val="en-US" w:eastAsia="zh-CN"/>
        </w:rPr>
        <w:t xml:space="preserve">                     （</w:t>
      </w:r>
      <w:r>
        <w:rPr>
          <w:rFonts w:hint="eastAsia" w:ascii="宋体" w:hAnsi="宋体" w:eastAsia="宋体" w:cs="宋体"/>
          <w:b w:val="0"/>
          <w:bCs/>
          <w:sz w:val="28"/>
          <w:szCs w:val="28"/>
          <w:highlight w:val="none"/>
          <w:lang w:val="en-US" w:eastAsia="zh-CN"/>
        </w:rPr>
        <w:t>2）</w:t>
      </w:r>
      <w:r>
        <w:rPr>
          <w:rFonts w:hint="eastAsia" w:ascii="宋体" w:hAnsi="宋体" w:eastAsia="宋体" w:cs="宋体"/>
          <w:sz w:val="28"/>
          <w:szCs w:val="28"/>
          <w:highlight w:val="none"/>
          <w:lang w:eastAsia="zh-CN"/>
        </w:rPr>
        <w:t>、区城管局拨文化宫社区创文工作经费1万元；</w:t>
      </w:r>
    </w:p>
    <w:p w14:paraId="0D4B8F3D">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kern w:val="0"/>
          <w:sz w:val="24"/>
          <w:highlight w:val="none"/>
          <w:shd w:val="clear" w:color="auto" w:fill="FFFFFF"/>
        </w:rPr>
      </w:pPr>
      <w:r>
        <w:rPr>
          <w:rFonts w:hint="eastAsia" w:ascii="宋体" w:hAnsi="宋体" w:eastAsia="宋体" w:cs="宋体"/>
          <w:sz w:val="28"/>
          <w:szCs w:val="28"/>
          <w:highlight w:val="none"/>
          <w:lang w:eastAsia="zh-CN"/>
        </w:rPr>
        <w:t>（3）、区城管局拨钟楼社区支持钟楼社区创文工10万元；全部用于该社区老旧社区改造</w:t>
      </w:r>
    </w:p>
    <w:p w14:paraId="3CC2312C">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Style w:val="9"/>
          <w:rFonts w:hint="eastAsia" w:ascii="宋体" w:hAnsi="宋体" w:eastAsia="宋体" w:cs="宋体"/>
          <w:b w:val="0"/>
          <w:bCs/>
          <w:color w:val="333333"/>
          <w:kern w:val="0"/>
          <w:sz w:val="24"/>
          <w:highlight w:val="none"/>
          <w:shd w:val="clear" w:color="auto" w:fill="FFFFFF"/>
          <w:lang w:val="en-US" w:eastAsia="zh-CN"/>
        </w:rPr>
      </w:pPr>
      <w:r>
        <w:rPr>
          <w:rFonts w:hint="eastAsia" w:ascii="宋体" w:hAnsi="宋体" w:eastAsia="宋体" w:cs="宋体"/>
          <w:kern w:val="0"/>
          <w:sz w:val="28"/>
          <w:szCs w:val="28"/>
          <w:highlight w:val="none"/>
          <w:lang w:val="en-US" w:eastAsia="zh-CN" w:bidi="ar-SA"/>
        </w:rPr>
        <w:t>2、防疫资金共计12万元，用于疫情期间购置防疫物资，组织开展社区全域核酸检测，落实外防输入，加强排查管控，确保国内重点地区回黄和境外回黄人员隔离管控到位、核酸筛查到位、医疗救治到位、环境消杀到位，疫苗接种宣传到位做到“应种尽种”。保</w:t>
      </w:r>
      <w:r>
        <w:rPr>
          <w:rStyle w:val="9"/>
          <w:rFonts w:hint="eastAsia" w:ascii="宋体" w:hAnsi="宋体" w:eastAsia="宋体" w:cs="宋体"/>
          <w:b w:val="0"/>
          <w:bCs/>
          <w:color w:val="333333"/>
          <w:kern w:val="0"/>
          <w:sz w:val="24"/>
          <w:highlight w:val="none"/>
          <w:shd w:val="clear" w:color="auto" w:fill="FFFFFF"/>
          <w:lang w:val="en-US" w:eastAsia="zh-CN"/>
        </w:rPr>
        <w:t>障防疫工作正常运转</w:t>
      </w:r>
    </w:p>
    <w:p w14:paraId="71B8B652">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（1)、黄石港慈善会捐赠防疫资金100000元</w:t>
      </w:r>
    </w:p>
    <w:p w14:paraId="5F507E43">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（2)、黄石港慈善总会拨防疫资金20000元</w:t>
      </w:r>
    </w:p>
    <w:tbl>
      <w:tblPr>
        <w:tblStyle w:val="7"/>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13"/>
        <w:gridCol w:w="864"/>
        <w:gridCol w:w="739"/>
        <w:gridCol w:w="3962"/>
        <w:gridCol w:w="1673"/>
        <w:gridCol w:w="1520"/>
        <w:gridCol w:w="1520"/>
        <w:gridCol w:w="756"/>
      </w:tblGrid>
      <w:tr w14:paraId="75C3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85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1338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5D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733B7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46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w:t>
            </w:r>
            <w:r>
              <w:rPr>
                <w:rFonts w:hint="eastAsia" w:ascii="宋体" w:hAnsi="宋体" w:cs="宋体"/>
                <w:i w:val="0"/>
                <w:iCs w:val="0"/>
                <w:color w:val="000000"/>
                <w:kern w:val="0"/>
                <w:sz w:val="22"/>
                <w:szCs w:val="22"/>
                <w:u w:val="none"/>
                <w:lang w:val="en-US" w:eastAsia="zh-CN" w:bidi="ar"/>
              </w:rPr>
              <w:t>胜阳港街道办事处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B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905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2F95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C7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w:t>
            </w:r>
            <w:r>
              <w:rPr>
                <w:rFonts w:hint="eastAsia" w:ascii="宋体" w:hAnsi="宋体" w:cs="宋体"/>
                <w:i w:val="0"/>
                <w:iCs w:val="0"/>
                <w:color w:val="000000"/>
                <w:kern w:val="0"/>
                <w:sz w:val="22"/>
                <w:szCs w:val="22"/>
                <w:u w:val="none"/>
                <w:lang w:val="en-US" w:eastAsia="zh-CN" w:bidi="ar"/>
              </w:rPr>
              <w:t>胜阳港街道办事处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1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5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1FAE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A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4F32B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4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E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0E38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41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A05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929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1077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B56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r>
      <w:tr w14:paraId="0D0C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9C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74E07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E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7D209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0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4A24F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8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9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09EC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C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98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01CB5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0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10BC3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54CC5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15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1DC07D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41649D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64F16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642D91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2D5E5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526F8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5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C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7E1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31DC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5C14">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2360">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B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4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48C1E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240F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8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4479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133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CF5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7E4D">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777A">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8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1CB8E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3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5584C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2D1CF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6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7A9BA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C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E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7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0FC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98F6">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6C45">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7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0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2D9C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0FB8F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3B4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5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FFF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5C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C0E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9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92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6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469A2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8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1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D82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127">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AA03">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45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63B8E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4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4865A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522AB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3CF3E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D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B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E6A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A37F">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99C66">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2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61F58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5865C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70801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67B0E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63A8A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519B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A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663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0A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B1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5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9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6AD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69D8B">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6CDB">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5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D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A8B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C5EE">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01D6">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3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4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EA1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4B0B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E5D2">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6663">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8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B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9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721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0B41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578F">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6962">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F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4CFC8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172F4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8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6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8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776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5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4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39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r>
    </w:tbl>
    <w:p w14:paraId="57F79C94">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p>
    <w:p w14:paraId="377ACE74">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p>
    <w:p w14:paraId="3FDA0D44">
      <w:pPr>
        <w:pStyle w:val="6"/>
        <w:keepNext w:val="0"/>
        <w:keepLines w:val="0"/>
        <w:pageBreakBefore w:val="0"/>
        <w:widowControl/>
        <w:numPr>
          <w:ilvl w:val="0"/>
          <w:numId w:val="5"/>
        </w:numPr>
        <w:kinsoku/>
        <w:overflowPunct/>
        <w:topLinePunct w:val="0"/>
        <w:autoSpaceDE/>
        <w:autoSpaceDN/>
        <w:bidi w:val="0"/>
        <w:adjustRightInd/>
        <w:spacing w:before="40" w:beforeAutospacing="0" w:after="76" w:afterAutospacing="0" w:line="450" w:lineRule="atLeast"/>
        <w:ind w:left="0" w:leftChars="0" w:firstLineChars="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、决算收支增减变化情况</w:t>
      </w:r>
    </w:p>
    <w:p w14:paraId="7D64D075">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截止2021年12月31日，费用支出总额为2,051.78万元。相比2020年，费用支出增长了565.84万元,增长了38.08%，2021年机构改革后，由财政资金保障的区城管及工商局人员调入8人(其中2人退休)，新招入职事业编制人员7人．2020年8月社区干部工资薪金上调，87名人均涨幅1000元/月，2021年支出数含2020年度8-12月份增资额</w:t>
      </w:r>
    </w:p>
    <w:p w14:paraId="3A0906A4">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工资福利费用增长了590.85万元，比年初增长了105.46%，主要原因:（机构改革，人员增加，工资调整）</w:t>
      </w:r>
    </w:p>
    <w:p w14:paraId="4A8B0BF7">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商品和服务费用减少了24.15万元，比年初减少了2.63%，主要原因:（账务处理进行了调整，社区人员经费2020年度部份计入劳务费支出，由于该支出属于财政预算支出2021年调整至其他工资福利支出）</w:t>
      </w:r>
    </w:p>
    <w:p w14:paraId="4BA51A4C">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固定资产折旧费用减少了0.87万元，比年初减少了15.00%，主要原因:（2020年度报表中的通用调备折旧多计，本次</w:t>
      </w:r>
      <w:r>
        <w:rPr>
          <w:rFonts w:hint="eastAsia" w:ascii="宋体" w:hAnsi="宋体" w:cs="宋体"/>
          <w:kern w:val="0"/>
          <w:sz w:val="28"/>
          <w:szCs w:val="28"/>
          <w:highlight w:val="none"/>
          <w:lang w:val="en-US" w:eastAsia="zh-CN" w:bidi="ar-SA"/>
        </w:rPr>
        <w:t>根据</w:t>
      </w:r>
      <w:r>
        <w:rPr>
          <w:rFonts w:hint="eastAsia" w:ascii="宋体" w:hAnsi="宋体" w:eastAsia="宋体" w:cs="宋体"/>
          <w:kern w:val="0"/>
          <w:sz w:val="28"/>
          <w:szCs w:val="28"/>
          <w:highlight w:val="none"/>
          <w:lang w:val="en-US" w:eastAsia="zh-CN" w:bidi="ar-SA"/>
        </w:rPr>
        <w:t>实际情况进行调整）</w:t>
      </w:r>
    </w:p>
    <w:p w14:paraId="4142FBE6">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从各项费用构成情况看，其中：</w:t>
      </w:r>
    </w:p>
    <w:p w14:paraId="781923FC">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工资福利费用1,151.10万元，占总费用比重56.10%。</w:t>
      </w:r>
    </w:p>
    <w:p w14:paraId="2CD14FA8">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商品和服务费用895.58万元，占总费用比重43.65%。</w:t>
      </w:r>
    </w:p>
    <w:p w14:paraId="5EFA6C65">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固定资产折旧费用5.10万元，占总费用比重0.25%。</w:t>
      </w:r>
    </w:p>
    <w:p w14:paraId="2925CEC6">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政府部门费用构成和2020年相比发生重大变化的原因：（机构改革，人员增加，工资调整）</w:t>
      </w:r>
    </w:p>
    <w:p w14:paraId="11C6B2E7">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14:paraId="313E0D3F">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14:paraId="0F45196C">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14:paraId="79EA9AA2">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第四部分：名词解释</w:t>
      </w:r>
      <w:r>
        <w:rPr>
          <w:rFonts w:hint="eastAsia" w:ascii="宋体" w:hAnsi="宋体" w:eastAsia="宋体" w:cs="宋体"/>
          <w:color w:val="333333"/>
          <w:kern w:val="0"/>
          <w:sz w:val="24"/>
          <w:shd w:val="clear" w:color="auto" w:fill="FFFFFF"/>
        </w:rPr>
        <w:t> </w:t>
      </w:r>
    </w:p>
    <w:p w14:paraId="3C3E02DA">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（一）财政拨款（补助）：指区级财政当年拨付的资金。</w:t>
      </w:r>
    </w:p>
    <w:p w14:paraId="31FB417B">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（二）事业收入：指事业单位开展专业业务活动及其辅助活动取得的收入。 </w:t>
      </w:r>
    </w:p>
    <w:p w14:paraId="01F9638C">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（三）其他收入：指</w:t>
      </w:r>
      <w:r>
        <w:rPr>
          <w:rFonts w:hint="eastAsia" w:ascii="宋体" w:hAnsi="宋体" w:eastAsia="宋体" w:cs="宋体"/>
          <w:sz w:val="28"/>
          <w:szCs w:val="28"/>
          <w:lang w:eastAsia="zh-CN"/>
        </w:rPr>
        <w:t>决算</w:t>
      </w:r>
      <w:r>
        <w:rPr>
          <w:rFonts w:hint="eastAsia" w:ascii="宋体" w:hAnsi="宋体" w:eastAsia="宋体" w:cs="宋体"/>
          <w:sz w:val="28"/>
          <w:szCs w:val="28"/>
        </w:rPr>
        <w:t xml:space="preserve">单位在“财政拨款补助收入”、“事业收入”、“经营收入”以外取得的收入。 </w:t>
      </w:r>
    </w:p>
    <w:p w14:paraId="0559061F">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（四）上年结转：指以前年度尚未完成、结转到本年仍按原规定用途继续使用的资金。 </w:t>
      </w:r>
    </w:p>
    <w:p w14:paraId="57C9BF21">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（五）基本支出：指为保障机构正常运转、完成日常工作任务而发生的人员支出和公用支出。 </w:t>
      </w:r>
    </w:p>
    <w:p w14:paraId="3D1D85F2">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（六）项目支出：指为完成特定的行政工作任务或事业发展目标，在基本支出之外发生的各项支出。</w:t>
      </w:r>
    </w:p>
    <w:p w14:paraId="2706E0BD">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466C2FE">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（八）行政运行（项）：指机关和实行公务员法管理事业单位用于保障机构正常运转的基本支出。</w:t>
      </w:r>
    </w:p>
    <w:p w14:paraId="7D66E75B">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ind w:firstLine="480" w:firstLineChars="200"/>
        <w:textAlignment w:val="auto"/>
        <w:rPr>
          <w:rFonts w:hint="eastAsia" w:ascii="宋体" w:hAnsi="宋体" w:eastAsia="宋体" w:cs="宋体"/>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D5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C624F">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8C624F">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E0ABC"/>
    <w:multiLevelType w:val="singleLevel"/>
    <w:tmpl w:val="D3EE0ABC"/>
    <w:lvl w:ilvl="0" w:tentative="0">
      <w:start w:val="4"/>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21776CD"/>
    <w:multiLevelType w:val="singleLevel"/>
    <w:tmpl w:val="421776CD"/>
    <w:lvl w:ilvl="0" w:tentative="0">
      <w:start w:val="7"/>
      <w:numFmt w:val="chineseCounting"/>
      <w:suff w:val="nothing"/>
      <w:lvlText w:val="（%1）"/>
      <w:lvlJc w:val="left"/>
      <w:pPr>
        <w:ind w:left="-420"/>
      </w:pPr>
      <w:rPr>
        <w:rFonts w:hint="eastAsia"/>
      </w:rPr>
    </w:lvl>
  </w:abstractNum>
  <w:abstractNum w:abstractNumId="3">
    <w:nsid w:val="47A3FF70"/>
    <w:multiLevelType w:val="singleLevel"/>
    <w:tmpl w:val="47A3FF70"/>
    <w:lvl w:ilvl="0" w:tentative="0">
      <w:start w:val="1"/>
      <w:numFmt w:val="chineseCounting"/>
      <w:suff w:val="nothing"/>
      <w:lvlText w:val="%1、"/>
      <w:lvlJc w:val="left"/>
      <w:rPr>
        <w:rFonts w:hint="eastAsia"/>
      </w:rPr>
    </w:lvl>
  </w:abstractNum>
  <w:abstractNum w:abstractNumId="4">
    <w:nsid w:val="5070B3F9"/>
    <w:multiLevelType w:val="singleLevel"/>
    <w:tmpl w:val="5070B3F9"/>
    <w:lvl w:ilvl="0" w:tentative="0">
      <w:start w:val="3"/>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01611507"/>
    <w:rsid w:val="02380E83"/>
    <w:rsid w:val="02415858"/>
    <w:rsid w:val="04C9495C"/>
    <w:rsid w:val="05121E5F"/>
    <w:rsid w:val="073360BD"/>
    <w:rsid w:val="07397B77"/>
    <w:rsid w:val="07FD2EB8"/>
    <w:rsid w:val="08D86F1C"/>
    <w:rsid w:val="09436A8B"/>
    <w:rsid w:val="0A1C5C55"/>
    <w:rsid w:val="0ABE3629"/>
    <w:rsid w:val="0DA67AEE"/>
    <w:rsid w:val="0E43752E"/>
    <w:rsid w:val="0F184516"/>
    <w:rsid w:val="0F597644"/>
    <w:rsid w:val="0F62002F"/>
    <w:rsid w:val="103F5AD3"/>
    <w:rsid w:val="1124008F"/>
    <w:rsid w:val="14C75907"/>
    <w:rsid w:val="153C6003"/>
    <w:rsid w:val="15E37A96"/>
    <w:rsid w:val="15FF01DE"/>
    <w:rsid w:val="182B52BA"/>
    <w:rsid w:val="190F03A8"/>
    <w:rsid w:val="19453626"/>
    <w:rsid w:val="1AB234B2"/>
    <w:rsid w:val="1AB71087"/>
    <w:rsid w:val="1AC437A4"/>
    <w:rsid w:val="1AFC74FE"/>
    <w:rsid w:val="1B366101"/>
    <w:rsid w:val="1CCC39F4"/>
    <w:rsid w:val="1D930E8E"/>
    <w:rsid w:val="204A3687"/>
    <w:rsid w:val="20BB0DFC"/>
    <w:rsid w:val="2432177F"/>
    <w:rsid w:val="266B0F78"/>
    <w:rsid w:val="26812549"/>
    <w:rsid w:val="2702368A"/>
    <w:rsid w:val="27E57B74"/>
    <w:rsid w:val="291458F7"/>
    <w:rsid w:val="2C1F4CDE"/>
    <w:rsid w:val="2D085772"/>
    <w:rsid w:val="2DE4602A"/>
    <w:rsid w:val="2FDF6C60"/>
    <w:rsid w:val="30D168C0"/>
    <w:rsid w:val="316F2E7D"/>
    <w:rsid w:val="31C03BD4"/>
    <w:rsid w:val="331D35FA"/>
    <w:rsid w:val="368816D2"/>
    <w:rsid w:val="38AA0644"/>
    <w:rsid w:val="38B02FB8"/>
    <w:rsid w:val="396106E4"/>
    <w:rsid w:val="3A0252D6"/>
    <w:rsid w:val="3A2E6C9B"/>
    <w:rsid w:val="3D7A6218"/>
    <w:rsid w:val="3E400EDA"/>
    <w:rsid w:val="3F5D5AA8"/>
    <w:rsid w:val="40D21EC7"/>
    <w:rsid w:val="41B13517"/>
    <w:rsid w:val="430622FC"/>
    <w:rsid w:val="447E2A20"/>
    <w:rsid w:val="44DB0BB3"/>
    <w:rsid w:val="47A9240E"/>
    <w:rsid w:val="47E373A8"/>
    <w:rsid w:val="4A8477C1"/>
    <w:rsid w:val="4ACA51DC"/>
    <w:rsid w:val="4B795E87"/>
    <w:rsid w:val="4E845DBB"/>
    <w:rsid w:val="50B213CE"/>
    <w:rsid w:val="51EF31CC"/>
    <w:rsid w:val="51F25639"/>
    <w:rsid w:val="52CB56EE"/>
    <w:rsid w:val="530234D9"/>
    <w:rsid w:val="541843A7"/>
    <w:rsid w:val="55403DF7"/>
    <w:rsid w:val="56AD45B2"/>
    <w:rsid w:val="577C44E3"/>
    <w:rsid w:val="5A5C0979"/>
    <w:rsid w:val="5B637E94"/>
    <w:rsid w:val="5BAA0FE7"/>
    <w:rsid w:val="5BC30CDE"/>
    <w:rsid w:val="5CA93FCD"/>
    <w:rsid w:val="5E5252BB"/>
    <w:rsid w:val="5E5C3995"/>
    <w:rsid w:val="5FAA5B11"/>
    <w:rsid w:val="652C579B"/>
    <w:rsid w:val="66527405"/>
    <w:rsid w:val="67371D0C"/>
    <w:rsid w:val="69C732FC"/>
    <w:rsid w:val="6D807C9F"/>
    <w:rsid w:val="6D9E2FAE"/>
    <w:rsid w:val="6E2F16D5"/>
    <w:rsid w:val="6E5F273D"/>
    <w:rsid w:val="70E959A9"/>
    <w:rsid w:val="72A11576"/>
    <w:rsid w:val="734D4DE5"/>
    <w:rsid w:val="73A25B4E"/>
    <w:rsid w:val="76E61C4D"/>
    <w:rsid w:val="78E04934"/>
    <w:rsid w:val="7A4F0AB2"/>
    <w:rsid w:val="7E0021A0"/>
    <w:rsid w:val="7E3C6317"/>
    <w:rsid w:val="7FED0F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0"/>
    <w:qFormat/>
    <w:uiPriority w:val="99"/>
    <w:pPr>
      <w:spacing w:beforeAutospacing="1" w:afterAutospacing="1"/>
      <w:jc w:val="left"/>
      <w:outlineLvl w:val="4"/>
    </w:pPr>
    <w:rPr>
      <w:rFonts w:ascii="宋体" w:hAnsi="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标题 5 Char"/>
    <w:basedOn w:val="8"/>
    <w:link w:val="2"/>
    <w:semiHidden/>
    <w:qFormat/>
    <w:uiPriority w:val="9"/>
    <w:rPr>
      <w:rFonts w:ascii="Calibri" w:hAnsi="Calibri"/>
      <w:b/>
      <w:bCs/>
      <w:sz w:val="28"/>
      <w:szCs w:val="28"/>
    </w:rPr>
  </w:style>
  <w:style w:type="character" w:customStyle="1" w:styleId="11">
    <w:name w:val="页眉 Char"/>
    <w:basedOn w:val="8"/>
    <w:link w:val="5"/>
    <w:semiHidden/>
    <w:qFormat/>
    <w:uiPriority w:val="99"/>
    <w:rPr>
      <w:rFonts w:ascii="Calibri" w:hAnsi="Calibri"/>
      <w:sz w:val="18"/>
      <w:szCs w:val="18"/>
    </w:rPr>
  </w:style>
  <w:style w:type="character" w:customStyle="1" w:styleId="12">
    <w:name w:val="页脚 Char"/>
    <w:basedOn w:val="8"/>
    <w:link w:val="4"/>
    <w:qFormat/>
    <w:locked/>
    <w:uiPriority w:val="99"/>
    <w:rPr>
      <w:rFonts w:ascii="Calibri" w:hAnsi="Calibri" w:eastAsia="宋体" w:cs="Times New Roman"/>
      <w:kern w:val="2"/>
      <w:sz w:val="18"/>
      <w:szCs w:val="18"/>
    </w:rPr>
  </w:style>
  <w:style w:type="character" w:customStyle="1" w:styleId="13">
    <w:name w:val="ca-2"/>
    <w:basedOn w:val="8"/>
    <w:qFormat/>
    <w:uiPriority w:val="99"/>
    <w:rPr>
      <w:rFonts w:cs="Times New Roman"/>
    </w:rPr>
  </w:style>
  <w:style w:type="character" w:customStyle="1" w:styleId="14">
    <w:name w:val="ca-3"/>
    <w:basedOn w:val="8"/>
    <w:qFormat/>
    <w:uiPriority w:val="99"/>
    <w:rPr>
      <w:rFonts w:cs="Times New Roman"/>
    </w:rPr>
  </w:style>
  <w:style w:type="paragraph" w:styleId="15">
    <w:name w:val="List Paragraph"/>
    <w:basedOn w:val="1"/>
    <w:qFormat/>
    <w:uiPriority w:val="99"/>
    <w:pPr>
      <w:ind w:firstLine="420" w:firstLineChars="200"/>
    </w:pPr>
  </w:style>
  <w:style w:type="character" w:customStyle="1" w:styleId="16">
    <w:name w:val="font51"/>
    <w:basedOn w:val="8"/>
    <w:qFormat/>
    <w:uiPriority w:val="0"/>
    <w:rPr>
      <w:rFonts w:ascii="微软雅黑" w:hAnsi="微软雅黑" w:eastAsia="微软雅黑" w:cs="微软雅黑"/>
      <w:b/>
      <w:color w:val="333333"/>
      <w:sz w:val="32"/>
      <w:szCs w:val="32"/>
      <w:u w:val="none"/>
    </w:rPr>
  </w:style>
  <w:style w:type="paragraph" w:customStyle="1"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缩进 + 首行缩进:  2 字符"/>
    <w:basedOn w:val="1"/>
    <w:qFormat/>
    <w:uiPriority w:val="0"/>
    <w:pPr>
      <w:spacing w:line="560" w:lineRule="exact"/>
      <w:ind w:firstLine="640"/>
    </w:pPr>
    <w:rPr>
      <w:rFonts w:ascii="仿宋" w:hAnsi="仿宋"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3211</Words>
  <Characters>3665</Characters>
  <Lines>46</Lines>
  <Paragraphs>13</Paragraphs>
  <TotalTime>2</TotalTime>
  <ScaleCrop>false</ScaleCrop>
  <LinksUpToDate>false</LinksUpToDate>
  <CharactersWithSpaces>3712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2024-12-18T04:05:44Z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881256CC4E0E49CEA61174DEB97ABED3_13</vt:lpwstr>
  </property>
</Properties>
</file>