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51CC98">
      <w:pPr>
        <w:pStyle w:val="2"/>
        <w:keepNext w:val="0"/>
        <w:keepLines w:val="0"/>
        <w:pageBreakBefore w:val="0"/>
        <w:widowControl/>
        <w:shd w:val="clear" w:color="auto" w:fill="FFFFFF"/>
        <w:kinsoku/>
        <w:overflowPunct/>
        <w:topLinePunct w:val="0"/>
        <w:autoSpaceDE/>
        <w:autoSpaceDN/>
        <w:bidi w:val="0"/>
        <w:adjustRightInd/>
        <w:spacing w:before="40" w:beforeAutospacing="0" w:after="375" w:afterAutospacing="0" w:line="450" w:lineRule="atLeast"/>
        <w:jc w:val="center"/>
        <w:textAlignment w:val="auto"/>
        <w:rPr>
          <w:rFonts w:hint="eastAsia" w:ascii="宋体" w:hAnsi="宋体" w:eastAsia="宋体" w:cs="宋体"/>
          <w:color w:val="BC1010"/>
          <w:sz w:val="40"/>
          <w:szCs w:val="40"/>
        </w:rPr>
      </w:pPr>
      <w:bookmarkStart w:id="0" w:name="_GoBack"/>
      <w:r>
        <w:rPr>
          <w:rFonts w:hint="eastAsia" w:ascii="宋体" w:hAnsi="宋体" w:eastAsia="宋体" w:cs="宋体"/>
          <w:color w:val="BC1010"/>
          <w:sz w:val="40"/>
          <w:szCs w:val="40"/>
          <w:shd w:val="clear" w:color="auto" w:fill="FFFFFF"/>
        </w:rPr>
        <w:t>胜阳港街办</w:t>
      </w:r>
      <w:r>
        <w:rPr>
          <w:rFonts w:hint="eastAsia" w:ascii="宋体" w:hAnsi="宋体" w:eastAsia="宋体" w:cs="宋体"/>
          <w:color w:val="BC1010"/>
          <w:sz w:val="40"/>
          <w:szCs w:val="40"/>
          <w:shd w:val="clear" w:color="auto" w:fill="FFFFFF"/>
          <w:lang w:eastAsia="zh-CN"/>
        </w:rPr>
        <w:t>2021年</w:t>
      </w:r>
      <w:r>
        <w:rPr>
          <w:rFonts w:hint="eastAsia" w:ascii="宋体" w:hAnsi="宋体" w:eastAsia="宋体" w:cs="宋体"/>
          <w:color w:val="BC1010"/>
          <w:sz w:val="40"/>
          <w:szCs w:val="40"/>
          <w:shd w:val="clear" w:color="auto" w:fill="FFFFFF"/>
        </w:rPr>
        <w:t>部门</w:t>
      </w:r>
      <w:r>
        <w:rPr>
          <w:rFonts w:hint="eastAsia" w:ascii="宋体" w:hAnsi="宋体" w:eastAsia="宋体" w:cs="宋体"/>
          <w:color w:val="BC1010"/>
          <w:sz w:val="40"/>
          <w:szCs w:val="40"/>
          <w:shd w:val="clear" w:color="auto" w:fill="FFFFFF"/>
          <w:lang w:eastAsia="zh-CN"/>
        </w:rPr>
        <w:t>决算</w:t>
      </w:r>
      <w:r>
        <w:rPr>
          <w:rFonts w:hint="eastAsia" w:ascii="宋体" w:hAnsi="宋体" w:eastAsia="宋体" w:cs="宋体"/>
          <w:color w:val="BC1010"/>
          <w:sz w:val="40"/>
          <w:szCs w:val="40"/>
          <w:shd w:val="clear" w:color="auto" w:fill="FFFFFF"/>
        </w:rPr>
        <w:t>公开</w:t>
      </w:r>
    </w:p>
    <w:bookmarkEnd w:id="0"/>
    <w:p w14:paraId="008E2310">
      <w:pPr>
        <w:keepNext w:val="0"/>
        <w:keepLines w:val="0"/>
        <w:pageBreakBefore w:val="0"/>
        <w:widowControl/>
        <w:shd w:val="clear" w:color="auto" w:fill="FFFFFF"/>
        <w:kinsoku/>
        <w:overflowPunct/>
        <w:topLinePunct w:val="0"/>
        <w:autoSpaceDE/>
        <w:autoSpaceDN/>
        <w:bidi w:val="0"/>
        <w:adjustRightInd/>
        <w:spacing w:before="40" w:line="450" w:lineRule="atLeast"/>
        <w:jc w:val="center"/>
        <w:textAlignment w:val="auto"/>
        <w:rPr>
          <w:rFonts w:hint="eastAsia" w:ascii="宋体" w:hAnsi="宋体" w:eastAsia="宋体" w:cs="宋体"/>
          <w:color w:val="333333"/>
          <w:sz w:val="24"/>
        </w:rPr>
      </w:pPr>
      <w:r>
        <w:rPr>
          <w:rStyle w:val="9"/>
          <w:rFonts w:hint="eastAsia" w:ascii="宋体" w:hAnsi="宋体" w:eastAsia="宋体" w:cs="宋体"/>
          <w:color w:val="333333"/>
          <w:kern w:val="0"/>
          <w:sz w:val="24"/>
          <w:shd w:val="clear" w:color="auto" w:fill="FFFFFF"/>
        </w:rPr>
        <w:t>目 录</w:t>
      </w:r>
    </w:p>
    <w:p w14:paraId="1491C2EB">
      <w:pPr>
        <w:keepNext w:val="0"/>
        <w:keepLines w:val="0"/>
        <w:pageBreakBefore w:val="0"/>
        <w:kinsoku/>
        <w:overflowPunct/>
        <w:topLinePunct w:val="0"/>
        <w:autoSpaceDE/>
        <w:autoSpaceDN/>
        <w:bidi w:val="0"/>
        <w:adjustRightInd/>
        <w:spacing w:before="40" w:line="560" w:lineRule="exact"/>
        <w:textAlignment w:val="auto"/>
        <w:rPr>
          <w:rFonts w:hint="eastAsia" w:ascii="宋体" w:hAnsi="宋体" w:eastAsia="宋体" w:cs="宋体"/>
          <w:b/>
          <w:kern w:val="0"/>
          <w:sz w:val="28"/>
          <w:szCs w:val="28"/>
        </w:rPr>
      </w:pPr>
      <w:r>
        <w:rPr>
          <w:rStyle w:val="9"/>
          <w:rFonts w:hint="eastAsia" w:ascii="宋体" w:hAnsi="宋体" w:eastAsia="宋体" w:cs="宋体"/>
          <w:color w:val="333333"/>
          <w:kern w:val="0"/>
          <w:sz w:val="24"/>
          <w:shd w:val="clear" w:color="auto" w:fill="FFFFFF"/>
        </w:rPr>
        <w:t>第一部分：部门基本情况</w:t>
      </w:r>
    </w:p>
    <w:p w14:paraId="3AD3E4E7">
      <w:pPr>
        <w:pStyle w:val="6"/>
        <w:keepNext w:val="0"/>
        <w:keepLines w:val="0"/>
        <w:pageBreakBefore w:val="0"/>
        <w:widowControl/>
        <w:numPr>
          <w:ilvl w:val="0"/>
          <w:numId w:val="1"/>
        </w:numPr>
        <w:kinsoku/>
        <w:overflowPunct/>
        <w:topLinePunct w:val="0"/>
        <w:autoSpaceDE/>
        <w:autoSpaceDN/>
        <w:bidi w:val="0"/>
        <w:adjustRightInd/>
        <w:spacing w:before="40" w:beforeAutospacing="0" w:after="0" w:afterAutospacing="0" w:line="560" w:lineRule="exact"/>
        <w:textAlignment w:val="auto"/>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部门主要职责</w:t>
      </w:r>
    </w:p>
    <w:p w14:paraId="51CCBE54">
      <w:pPr>
        <w:pStyle w:val="6"/>
        <w:keepNext w:val="0"/>
        <w:keepLines w:val="0"/>
        <w:pageBreakBefore w:val="0"/>
        <w:widowControl/>
        <w:numPr>
          <w:ilvl w:val="0"/>
          <w:numId w:val="1"/>
        </w:numPr>
        <w:kinsoku/>
        <w:overflowPunct/>
        <w:topLinePunct w:val="0"/>
        <w:autoSpaceDE/>
        <w:autoSpaceDN/>
        <w:bidi w:val="0"/>
        <w:adjustRightInd/>
        <w:spacing w:before="40" w:beforeAutospacing="0" w:after="0" w:afterAutospacing="0" w:line="560" w:lineRule="exact"/>
        <w:textAlignment w:val="auto"/>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二、部门</w:t>
      </w:r>
      <w:r>
        <w:rPr>
          <w:rFonts w:hint="eastAsia" w:ascii="宋体" w:hAnsi="宋体" w:eastAsia="宋体" w:cs="宋体"/>
          <w:color w:val="333333"/>
          <w:shd w:val="clear" w:color="auto" w:fill="FFFFFF"/>
          <w:lang w:eastAsia="zh-CN"/>
        </w:rPr>
        <w:t>决算</w:t>
      </w:r>
      <w:r>
        <w:rPr>
          <w:rFonts w:hint="eastAsia" w:ascii="宋体" w:hAnsi="宋体" w:eastAsia="宋体" w:cs="宋体"/>
          <w:color w:val="333333"/>
          <w:shd w:val="clear" w:color="auto" w:fill="FFFFFF"/>
        </w:rPr>
        <w:t>单位构成</w:t>
      </w:r>
    </w:p>
    <w:p w14:paraId="3EC68A78">
      <w:pPr>
        <w:pStyle w:val="6"/>
        <w:keepNext w:val="0"/>
        <w:keepLines w:val="0"/>
        <w:pageBreakBefore w:val="0"/>
        <w:widowControl/>
        <w:numPr>
          <w:ilvl w:val="0"/>
          <w:numId w:val="1"/>
        </w:numPr>
        <w:kinsoku/>
        <w:overflowPunct/>
        <w:topLinePunct w:val="0"/>
        <w:autoSpaceDE/>
        <w:autoSpaceDN/>
        <w:bidi w:val="0"/>
        <w:adjustRightInd/>
        <w:spacing w:before="40" w:beforeAutospacing="0" w:after="0" w:afterAutospacing="0" w:line="560" w:lineRule="exact"/>
        <w:textAlignment w:val="auto"/>
        <w:rPr>
          <w:rFonts w:hint="eastAsia" w:ascii="宋体" w:hAnsi="宋体" w:eastAsia="宋体" w:cs="宋体"/>
          <w:color w:val="333333"/>
          <w:shd w:val="clear" w:color="auto" w:fill="FFFFFF"/>
        </w:rPr>
      </w:pPr>
      <w:r>
        <w:rPr>
          <w:rStyle w:val="9"/>
          <w:rFonts w:hint="eastAsia" w:ascii="宋体" w:hAnsi="宋体" w:eastAsia="宋体" w:cs="宋体"/>
          <w:color w:val="333333"/>
          <w:shd w:val="clear" w:color="auto" w:fill="FFFFFF"/>
        </w:rPr>
        <w:t>第二部分: 部门</w:t>
      </w:r>
      <w:r>
        <w:rPr>
          <w:rStyle w:val="9"/>
          <w:rFonts w:hint="eastAsia" w:ascii="宋体" w:hAnsi="宋体" w:eastAsia="宋体" w:cs="宋体"/>
          <w:color w:val="333333"/>
          <w:shd w:val="clear" w:color="auto" w:fill="FFFFFF"/>
          <w:lang w:eastAsia="zh-CN"/>
        </w:rPr>
        <w:t>2021年</w:t>
      </w:r>
      <w:r>
        <w:rPr>
          <w:rStyle w:val="9"/>
          <w:rFonts w:hint="eastAsia" w:ascii="宋体" w:hAnsi="宋体" w:eastAsia="宋体" w:cs="宋体"/>
          <w:color w:val="333333"/>
          <w:shd w:val="clear" w:color="auto" w:fill="FFFFFF"/>
        </w:rPr>
        <w:t>部门</w:t>
      </w:r>
      <w:r>
        <w:rPr>
          <w:rStyle w:val="9"/>
          <w:rFonts w:hint="eastAsia" w:ascii="宋体" w:hAnsi="宋体" w:eastAsia="宋体" w:cs="宋体"/>
          <w:color w:val="333333"/>
          <w:shd w:val="clear" w:color="auto" w:fill="FFFFFF"/>
          <w:lang w:eastAsia="zh-CN"/>
        </w:rPr>
        <w:t>决算</w:t>
      </w:r>
      <w:r>
        <w:rPr>
          <w:rStyle w:val="9"/>
          <w:rFonts w:hint="eastAsia" w:ascii="宋体" w:hAnsi="宋体" w:eastAsia="宋体" w:cs="宋体"/>
          <w:color w:val="333333"/>
          <w:shd w:val="clear" w:color="auto" w:fill="FFFFFF"/>
        </w:rPr>
        <w:t>表</w:t>
      </w:r>
    </w:p>
    <w:p w14:paraId="78B0BC7D">
      <w:pPr>
        <w:pStyle w:val="6"/>
        <w:keepNext w:val="0"/>
        <w:keepLines w:val="0"/>
        <w:pageBreakBefore w:val="0"/>
        <w:widowControl/>
        <w:numPr>
          <w:ilvl w:val="0"/>
          <w:numId w:val="1"/>
        </w:numPr>
        <w:kinsoku/>
        <w:overflowPunct/>
        <w:topLinePunct w:val="0"/>
        <w:autoSpaceDE/>
        <w:autoSpaceDN/>
        <w:bidi w:val="0"/>
        <w:adjustRightInd/>
        <w:spacing w:before="40" w:beforeAutospacing="0" w:after="0" w:afterAutospacing="0" w:line="560" w:lineRule="exact"/>
        <w:textAlignment w:val="auto"/>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一、收入支出</w:t>
      </w:r>
      <w:r>
        <w:rPr>
          <w:rFonts w:hint="eastAsia" w:ascii="宋体" w:hAnsi="宋体" w:eastAsia="宋体" w:cs="宋体"/>
          <w:color w:val="333333"/>
          <w:shd w:val="clear" w:color="auto" w:fill="FFFFFF"/>
          <w:lang w:eastAsia="zh-CN"/>
        </w:rPr>
        <w:t>决算</w:t>
      </w:r>
      <w:r>
        <w:rPr>
          <w:rFonts w:hint="eastAsia" w:ascii="宋体" w:hAnsi="宋体" w:eastAsia="宋体" w:cs="宋体"/>
          <w:color w:val="333333"/>
          <w:shd w:val="clear" w:color="auto" w:fill="FFFFFF"/>
        </w:rPr>
        <w:t>总表（表1）</w:t>
      </w:r>
    </w:p>
    <w:p w14:paraId="43DEAA72">
      <w:pPr>
        <w:pStyle w:val="6"/>
        <w:keepNext w:val="0"/>
        <w:keepLines w:val="0"/>
        <w:pageBreakBefore w:val="0"/>
        <w:widowControl/>
        <w:numPr>
          <w:ilvl w:val="0"/>
          <w:numId w:val="1"/>
        </w:numPr>
        <w:kinsoku/>
        <w:overflowPunct/>
        <w:topLinePunct w:val="0"/>
        <w:autoSpaceDE/>
        <w:autoSpaceDN/>
        <w:bidi w:val="0"/>
        <w:adjustRightInd/>
        <w:spacing w:before="40" w:beforeAutospacing="0" w:after="0" w:afterAutospacing="0" w:line="560" w:lineRule="exact"/>
        <w:textAlignment w:val="auto"/>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二、收入</w:t>
      </w:r>
      <w:r>
        <w:rPr>
          <w:rFonts w:hint="eastAsia" w:ascii="宋体" w:hAnsi="宋体" w:eastAsia="宋体" w:cs="宋体"/>
          <w:color w:val="333333"/>
          <w:shd w:val="clear" w:color="auto" w:fill="FFFFFF"/>
          <w:lang w:eastAsia="zh-CN"/>
        </w:rPr>
        <w:t>决算</w:t>
      </w:r>
      <w:r>
        <w:rPr>
          <w:rFonts w:hint="eastAsia" w:ascii="宋体" w:hAnsi="宋体" w:eastAsia="宋体" w:cs="宋体"/>
          <w:color w:val="333333"/>
          <w:shd w:val="clear" w:color="auto" w:fill="FFFFFF"/>
        </w:rPr>
        <w:t>表（表2）</w:t>
      </w:r>
    </w:p>
    <w:p w14:paraId="1B75D0FF">
      <w:pPr>
        <w:pStyle w:val="6"/>
        <w:keepNext w:val="0"/>
        <w:keepLines w:val="0"/>
        <w:pageBreakBefore w:val="0"/>
        <w:widowControl/>
        <w:numPr>
          <w:ilvl w:val="0"/>
          <w:numId w:val="1"/>
        </w:numPr>
        <w:kinsoku/>
        <w:overflowPunct/>
        <w:topLinePunct w:val="0"/>
        <w:autoSpaceDE/>
        <w:autoSpaceDN/>
        <w:bidi w:val="0"/>
        <w:adjustRightInd/>
        <w:spacing w:before="40" w:beforeAutospacing="0" w:after="0" w:afterAutospacing="0" w:line="560" w:lineRule="exact"/>
        <w:textAlignment w:val="auto"/>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三、支出</w:t>
      </w:r>
      <w:r>
        <w:rPr>
          <w:rFonts w:hint="eastAsia" w:ascii="宋体" w:hAnsi="宋体" w:eastAsia="宋体" w:cs="宋体"/>
          <w:color w:val="333333"/>
          <w:shd w:val="clear" w:color="auto" w:fill="FFFFFF"/>
          <w:lang w:eastAsia="zh-CN"/>
        </w:rPr>
        <w:t>决算</w:t>
      </w:r>
      <w:r>
        <w:rPr>
          <w:rFonts w:hint="eastAsia" w:ascii="宋体" w:hAnsi="宋体" w:eastAsia="宋体" w:cs="宋体"/>
          <w:color w:val="333333"/>
          <w:shd w:val="clear" w:color="auto" w:fill="FFFFFF"/>
        </w:rPr>
        <w:t>表（表3）</w:t>
      </w:r>
    </w:p>
    <w:p w14:paraId="5BB778D9">
      <w:pPr>
        <w:pStyle w:val="6"/>
        <w:keepNext w:val="0"/>
        <w:keepLines w:val="0"/>
        <w:pageBreakBefore w:val="0"/>
        <w:widowControl/>
        <w:numPr>
          <w:ilvl w:val="0"/>
          <w:numId w:val="1"/>
        </w:numPr>
        <w:kinsoku/>
        <w:overflowPunct/>
        <w:topLinePunct w:val="0"/>
        <w:autoSpaceDE/>
        <w:autoSpaceDN/>
        <w:bidi w:val="0"/>
        <w:adjustRightInd/>
        <w:spacing w:before="40" w:beforeAutospacing="0" w:after="0" w:afterAutospacing="0" w:line="560" w:lineRule="exact"/>
        <w:textAlignment w:val="auto"/>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四、财政拨款收入支出</w:t>
      </w:r>
      <w:r>
        <w:rPr>
          <w:rFonts w:hint="eastAsia" w:ascii="宋体" w:hAnsi="宋体" w:eastAsia="宋体" w:cs="宋体"/>
          <w:color w:val="333333"/>
          <w:shd w:val="clear" w:color="auto" w:fill="FFFFFF"/>
          <w:lang w:eastAsia="zh-CN"/>
        </w:rPr>
        <w:t>决算</w:t>
      </w:r>
      <w:r>
        <w:rPr>
          <w:rFonts w:hint="eastAsia" w:ascii="宋体" w:hAnsi="宋体" w:eastAsia="宋体" w:cs="宋体"/>
          <w:color w:val="333333"/>
          <w:shd w:val="clear" w:color="auto" w:fill="FFFFFF"/>
        </w:rPr>
        <w:t>总表（表4）</w:t>
      </w:r>
    </w:p>
    <w:p w14:paraId="601D600A">
      <w:pPr>
        <w:pStyle w:val="6"/>
        <w:keepNext w:val="0"/>
        <w:keepLines w:val="0"/>
        <w:pageBreakBefore w:val="0"/>
        <w:widowControl/>
        <w:numPr>
          <w:ilvl w:val="0"/>
          <w:numId w:val="1"/>
        </w:numPr>
        <w:kinsoku/>
        <w:overflowPunct/>
        <w:topLinePunct w:val="0"/>
        <w:autoSpaceDE/>
        <w:autoSpaceDN/>
        <w:bidi w:val="0"/>
        <w:adjustRightInd/>
        <w:spacing w:before="40" w:beforeAutospacing="0" w:after="0" w:afterAutospacing="0" w:line="560" w:lineRule="exact"/>
        <w:textAlignment w:val="auto"/>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五、一般公共</w:t>
      </w:r>
      <w:r>
        <w:rPr>
          <w:rFonts w:hint="eastAsia" w:ascii="宋体" w:hAnsi="宋体" w:eastAsia="宋体" w:cs="宋体"/>
          <w:color w:val="333333"/>
          <w:shd w:val="clear" w:color="auto" w:fill="FFFFFF"/>
          <w:lang w:eastAsia="zh-CN"/>
        </w:rPr>
        <w:t>决算</w:t>
      </w:r>
      <w:r>
        <w:rPr>
          <w:rFonts w:hint="eastAsia" w:ascii="宋体" w:hAnsi="宋体" w:eastAsia="宋体" w:cs="宋体"/>
          <w:color w:val="333333"/>
          <w:shd w:val="clear" w:color="auto" w:fill="FFFFFF"/>
        </w:rPr>
        <w:t>财政拨款支出</w:t>
      </w:r>
      <w:r>
        <w:rPr>
          <w:rFonts w:hint="eastAsia" w:ascii="宋体" w:hAnsi="宋体" w:eastAsia="宋体" w:cs="宋体"/>
          <w:color w:val="333333"/>
          <w:shd w:val="clear" w:color="auto" w:fill="FFFFFF"/>
          <w:lang w:eastAsia="zh-CN"/>
        </w:rPr>
        <w:t>决算</w:t>
      </w:r>
      <w:r>
        <w:rPr>
          <w:rFonts w:hint="eastAsia" w:ascii="宋体" w:hAnsi="宋体" w:eastAsia="宋体" w:cs="宋体"/>
          <w:color w:val="333333"/>
          <w:shd w:val="clear" w:color="auto" w:fill="FFFFFF"/>
        </w:rPr>
        <w:t>表（表5）</w:t>
      </w:r>
    </w:p>
    <w:p w14:paraId="06B906B7">
      <w:pPr>
        <w:pStyle w:val="6"/>
        <w:keepNext w:val="0"/>
        <w:keepLines w:val="0"/>
        <w:pageBreakBefore w:val="0"/>
        <w:widowControl/>
        <w:numPr>
          <w:ilvl w:val="0"/>
          <w:numId w:val="1"/>
        </w:numPr>
        <w:kinsoku/>
        <w:overflowPunct/>
        <w:topLinePunct w:val="0"/>
        <w:autoSpaceDE/>
        <w:autoSpaceDN/>
        <w:bidi w:val="0"/>
        <w:adjustRightInd/>
        <w:spacing w:before="40" w:beforeAutospacing="0" w:after="0" w:afterAutospacing="0" w:line="560" w:lineRule="exact"/>
        <w:textAlignment w:val="auto"/>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六、一般公共</w:t>
      </w:r>
      <w:r>
        <w:rPr>
          <w:rFonts w:hint="eastAsia" w:ascii="宋体" w:hAnsi="宋体" w:eastAsia="宋体" w:cs="宋体"/>
          <w:color w:val="333333"/>
          <w:shd w:val="clear" w:color="auto" w:fill="FFFFFF"/>
          <w:lang w:eastAsia="zh-CN"/>
        </w:rPr>
        <w:t>决算</w:t>
      </w:r>
      <w:r>
        <w:rPr>
          <w:rFonts w:hint="eastAsia" w:ascii="宋体" w:hAnsi="宋体" w:eastAsia="宋体" w:cs="宋体"/>
          <w:color w:val="333333"/>
          <w:shd w:val="clear" w:color="auto" w:fill="FFFFFF"/>
        </w:rPr>
        <w:t>财政拨款基本支出</w:t>
      </w:r>
      <w:r>
        <w:rPr>
          <w:rFonts w:hint="eastAsia" w:ascii="宋体" w:hAnsi="宋体" w:eastAsia="宋体" w:cs="宋体"/>
          <w:color w:val="333333"/>
          <w:shd w:val="clear" w:color="auto" w:fill="FFFFFF"/>
          <w:lang w:eastAsia="zh-CN"/>
        </w:rPr>
        <w:t>决算</w:t>
      </w:r>
      <w:r>
        <w:rPr>
          <w:rFonts w:hint="eastAsia" w:ascii="宋体" w:hAnsi="宋体" w:eastAsia="宋体" w:cs="宋体"/>
          <w:color w:val="333333"/>
          <w:shd w:val="clear" w:color="auto" w:fill="FFFFFF"/>
        </w:rPr>
        <w:t>表（表6）</w:t>
      </w:r>
    </w:p>
    <w:p w14:paraId="07E57AD5">
      <w:pPr>
        <w:pStyle w:val="6"/>
        <w:keepNext w:val="0"/>
        <w:keepLines w:val="0"/>
        <w:pageBreakBefore w:val="0"/>
        <w:widowControl/>
        <w:numPr>
          <w:ilvl w:val="0"/>
          <w:numId w:val="1"/>
        </w:numPr>
        <w:kinsoku/>
        <w:overflowPunct/>
        <w:topLinePunct w:val="0"/>
        <w:autoSpaceDE/>
        <w:autoSpaceDN/>
        <w:bidi w:val="0"/>
        <w:adjustRightInd/>
        <w:spacing w:before="40" w:beforeAutospacing="0" w:after="0" w:afterAutospacing="0" w:line="560" w:lineRule="exact"/>
        <w:textAlignment w:val="auto"/>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七、一般公共</w:t>
      </w:r>
      <w:r>
        <w:rPr>
          <w:rFonts w:hint="eastAsia" w:ascii="宋体" w:hAnsi="宋体" w:eastAsia="宋体" w:cs="宋体"/>
          <w:color w:val="333333"/>
          <w:shd w:val="clear" w:color="auto" w:fill="FFFFFF"/>
          <w:lang w:eastAsia="zh-CN"/>
        </w:rPr>
        <w:t>决算</w:t>
      </w:r>
      <w:r>
        <w:rPr>
          <w:rFonts w:hint="eastAsia" w:ascii="宋体" w:hAnsi="宋体" w:eastAsia="宋体" w:cs="宋体"/>
          <w:color w:val="333333"/>
          <w:shd w:val="clear" w:color="auto" w:fill="FFFFFF"/>
        </w:rPr>
        <w:t>财政拨款“三公”经费支出</w:t>
      </w:r>
      <w:r>
        <w:rPr>
          <w:rFonts w:hint="eastAsia" w:ascii="宋体" w:hAnsi="宋体" w:eastAsia="宋体" w:cs="宋体"/>
          <w:color w:val="333333"/>
          <w:shd w:val="clear" w:color="auto" w:fill="FFFFFF"/>
          <w:lang w:eastAsia="zh-CN"/>
        </w:rPr>
        <w:t>决算</w:t>
      </w:r>
      <w:r>
        <w:rPr>
          <w:rFonts w:hint="eastAsia" w:ascii="宋体" w:hAnsi="宋体" w:eastAsia="宋体" w:cs="宋体"/>
          <w:color w:val="333333"/>
          <w:shd w:val="clear" w:color="auto" w:fill="FFFFFF"/>
        </w:rPr>
        <w:t>表（表7）</w:t>
      </w:r>
    </w:p>
    <w:p w14:paraId="5B4402CC">
      <w:pPr>
        <w:pStyle w:val="6"/>
        <w:keepNext w:val="0"/>
        <w:keepLines w:val="0"/>
        <w:pageBreakBefore w:val="0"/>
        <w:widowControl/>
        <w:numPr>
          <w:ilvl w:val="0"/>
          <w:numId w:val="1"/>
        </w:numPr>
        <w:kinsoku/>
        <w:overflowPunct/>
        <w:topLinePunct w:val="0"/>
        <w:autoSpaceDE/>
        <w:autoSpaceDN/>
        <w:bidi w:val="0"/>
        <w:adjustRightInd/>
        <w:spacing w:before="40" w:beforeAutospacing="0" w:after="0" w:afterAutospacing="0" w:line="560" w:lineRule="exact"/>
        <w:textAlignment w:val="auto"/>
        <w:rPr>
          <w:rFonts w:hint="eastAsia" w:ascii="宋体" w:hAnsi="宋体" w:eastAsia="宋体" w:cs="宋体"/>
          <w:color w:val="333333"/>
          <w:shd w:val="clear" w:color="auto" w:fill="FFFFFF"/>
        </w:rPr>
      </w:pPr>
      <w:r>
        <w:rPr>
          <w:rFonts w:hint="eastAsia" w:ascii="宋体" w:hAnsi="宋体" w:eastAsia="宋体" w:cs="宋体"/>
          <w:color w:val="333333"/>
          <w:shd w:val="clear" w:color="auto" w:fill="FFFFFF"/>
        </w:rPr>
        <w:t>八、政府性基金</w:t>
      </w:r>
      <w:r>
        <w:rPr>
          <w:rFonts w:hint="eastAsia" w:ascii="宋体" w:hAnsi="宋体" w:eastAsia="宋体" w:cs="宋体"/>
          <w:color w:val="333333"/>
          <w:shd w:val="clear" w:color="auto" w:fill="FFFFFF"/>
          <w:lang w:eastAsia="zh-CN"/>
        </w:rPr>
        <w:t>决算</w:t>
      </w:r>
      <w:r>
        <w:rPr>
          <w:rFonts w:hint="eastAsia" w:ascii="宋体" w:hAnsi="宋体" w:eastAsia="宋体" w:cs="宋体"/>
          <w:color w:val="333333"/>
          <w:shd w:val="clear" w:color="auto" w:fill="FFFFFF"/>
        </w:rPr>
        <w:t>支出情况表（表8）</w:t>
      </w:r>
    </w:p>
    <w:p w14:paraId="2CC70CF8">
      <w:pPr>
        <w:pStyle w:val="6"/>
        <w:keepNext w:val="0"/>
        <w:keepLines w:val="0"/>
        <w:pageBreakBefore w:val="0"/>
        <w:widowControl/>
        <w:kinsoku/>
        <w:overflowPunct/>
        <w:topLinePunct w:val="0"/>
        <w:autoSpaceDE/>
        <w:autoSpaceDN/>
        <w:bidi w:val="0"/>
        <w:adjustRightInd/>
        <w:spacing w:before="40" w:beforeAutospacing="0" w:after="76" w:afterAutospacing="0" w:line="450" w:lineRule="atLeast"/>
        <w:textAlignment w:val="auto"/>
        <w:rPr>
          <w:rFonts w:hint="eastAsia" w:ascii="宋体" w:hAnsi="宋体" w:eastAsia="宋体" w:cs="宋体"/>
          <w:color w:val="333333"/>
          <w:shd w:val="clear" w:color="auto" w:fill="FFFFFF"/>
          <w:lang w:val="en-US" w:eastAsia="zh-CN"/>
        </w:rPr>
      </w:pPr>
      <w:r>
        <w:rPr>
          <w:rFonts w:hint="eastAsia" w:ascii="宋体" w:hAnsi="宋体" w:eastAsia="宋体" w:cs="宋体"/>
          <w:color w:val="333333"/>
          <w:shd w:val="clear" w:color="auto" w:fill="FFFFFF"/>
          <w:lang w:eastAsia="zh-CN"/>
        </w:rPr>
        <w:t>九、国有资本经营预算财政拨款支出决算表（表</w:t>
      </w:r>
      <w:r>
        <w:rPr>
          <w:rFonts w:hint="eastAsia" w:ascii="宋体" w:hAnsi="宋体" w:eastAsia="宋体" w:cs="宋体"/>
          <w:color w:val="333333"/>
          <w:shd w:val="clear" w:color="auto" w:fill="FFFFFF"/>
          <w:lang w:val="en-US" w:eastAsia="zh-CN"/>
        </w:rPr>
        <w:t>9）</w:t>
      </w:r>
    </w:p>
    <w:p w14:paraId="51442A50">
      <w:pPr>
        <w:pStyle w:val="6"/>
        <w:keepNext w:val="0"/>
        <w:keepLines w:val="0"/>
        <w:pageBreakBefore w:val="0"/>
        <w:widowControl/>
        <w:numPr>
          <w:ilvl w:val="0"/>
          <w:numId w:val="0"/>
        </w:numPr>
        <w:kinsoku/>
        <w:overflowPunct/>
        <w:topLinePunct w:val="0"/>
        <w:autoSpaceDE/>
        <w:autoSpaceDN/>
        <w:bidi w:val="0"/>
        <w:adjustRightInd/>
        <w:spacing w:before="40" w:beforeAutospacing="0" w:after="0" w:afterAutospacing="0" w:line="560" w:lineRule="exact"/>
        <w:textAlignment w:val="auto"/>
        <w:rPr>
          <w:rStyle w:val="9"/>
          <w:rFonts w:hint="eastAsia" w:ascii="宋体" w:hAnsi="宋体" w:eastAsia="宋体" w:cs="宋体"/>
          <w:color w:val="333333"/>
          <w:shd w:val="clear" w:color="auto" w:fill="FFFFFF"/>
        </w:rPr>
      </w:pPr>
      <w:r>
        <w:rPr>
          <w:rStyle w:val="9"/>
          <w:rFonts w:hint="eastAsia" w:ascii="宋体" w:hAnsi="宋体" w:eastAsia="宋体" w:cs="宋体"/>
          <w:color w:val="333333"/>
          <w:shd w:val="clear" w:color="auto" w:fill="FFFFFF"/>
        </w:rPr>
        <w:t>第三部分：部门</w:t>
      </w:r>
      <w:r>
        <w:rPr>
          <w:rStyle w:val="9"/>
          <w:rFonts w:hint="eastAsia" w:ascii="宋体" w:hAnsi="宋体" w:eastAsia="宋体" w:cs="宋体"/>
          <w:color w:val="333333"/>
          <w:shd w:val="clear" w:color="auto" w:fill="FFFFFF"/>
          <w:lang w:eastAsia="zh-CN"/>
        </w:rPr>
        <w:t>20</w:t>
      </w:r>
      <w:r>
        <w:rPr>
          <w:rStyle w:val="9"/>
          <w:rFonts w:hint="eastAsia" w:ascii="宋体" w:hAnsi="宋体" w:eastAsia="宋体" w:cs="宋体"/>
          <w:color w:val="333333"/>
          <w:shd w:val="clear" w:color="auto" w:fill="FFFFFF"/>
          <w:lang w:val="en-US" w:eastAsia="zh-CN"/>
        </w:rPr>
        <w:t>21</w:t>
      </w:r>
      <w:r>
        <w:rPr>
          <w:rStyle w:val="9"/>
          <w:rFonts w:hint="eastAsia" w:ascii="宋体" w:hAnsi="宋体" w:eastAsia="宋体" w:cs="宋体"/>
          <w:color w:val="333333"/>
          <w:shd w:val="clear" w:color="auto" w:fill="FFFFFF"/>
        </w:rPr>
        <w:t>年部门决算情况说明</w:t>
      </w:r>
    </w:p>
    <w:p w14:paraId="71AED1A6">
      <w:pPr>
        <w:pStyle w:val="6"/>
        <w:keepNext w:val="0"/>
        <w:keepLines w:val="0"/>
        <w:pageBreakBefore w:val="0"/>
        <w:widowControl/>
        <w:kinsoku/>
        <w:overflowPunct/>
        <w:topLinePunct w:val="0"/>
        <w:autoSpaceDE/>
        <w:autoSpaceDN/>
        <w:bidi w:val="0"/>
        <w:adjustRightInd/>
        <w:spacing w:before="40" w:beforeAutospacing="0" w:after="76" w:afterAutospacing="0" w:line="450" w:lineRule="atLeast"/>
        <w:textAlignment w:val="auto"/>
        <w:rPr>
          <w:rFonts w:hint="eastAsia" w:ascii="宋体" w:hAnsi="宋体" w:eastAsia="宋体" w:cs="宋体"/>
          <w:color w:val="333333"/>
          <w:shd w:val="clear" w:color="auto" w:fill="FFFFFF"/>
          <w:lang w:eastAsia="zh-CN"/>
        </w:rPr>
      </w:pPr>
      <w:r>
        <w:rPr>
          <w:rFonts w:hint="eastAsia" w:ascii="宋体" w:hAnsi="宋体" w:eastAsia="宋体" w:cs="宋体"/>
          <w:color w:val="333333"/>
          <w:shd w:val="clear" w:color="auto" w:fill="FFFFFF"/>
          <w:lang w:eastAsia="zh-CN"/>
        </w:rPr>
        <w:t>一、预算执行情况分析</w:t>
      </w:r>
    </w:p>
    <w:p w14:paraId="093513CC">
      <w:pPr>
        <w:pStyle w:val="6"/>
        <w:keepNext w:val="0"/>
        <w:keepLines w:val="0"/>
        <w:pageBreakBefore w:val="0"/>
        <w:widowControl/>
        <w:kinsoku/>
        <w:overflowPunct/>
        <w:topLinePunct w:val="0"/>
        <w:autoSpaceDE/>
        <w:autoSpaceDN/>
        <w:bidi w:val="0"/>
        <w:adjustRightInd/>
        <w:spacing w:before="40" w:beforeAutospacing="0" w:after="76" w:afterAutospacing="0" w:line="450" w:lineRule="atLeast"/>
        <w:textAlignment w:val="auto"/>
        <w:rPr>
          <w:rFonts w:hint="eastAsia" w:ascii="宋体" w:hAnsi="宋体" w:eastAsia="宋体" w:cs="宋体"/>
          <w:color w:val="333333"/>
          <w:shd w:val="clear" w:color="auto" w:fill="FFFFFF"/>
          <w:lang w:eastAsia="zh-CN"/>
        </w:rPr>
      </w:pPr>
      <w:r>
        <w:rPr>
          <w:rFonts w:hint="eastAsia" w:ascii="宋体" w:hAnsi="宋体" w:eastAsia="宋体" w:cs="宋体"/>
          <w:color w:val="333333"/>
          <w:shd w:val="clear" w:color="auto" w:fill="FFFFFF"/>
          <w:lang w:eastAsia="zh-CN"/>
        </w:rPr>
        <w:t>二、关于“三公”经费支出说明</w:t>
      </w:r>
    </w:p>
    <w:p w14:paraId="19A3CE64">
      <w:pPr>
        <w:pStyle w:val="6"/>
        <w:keepNext w:val="0"/>
        <w:keepLines w:val="0"/>
        <w:pageBreakBefore w:val="0"/>
        <w:widowControl/>
        <w:kinsoku/>
        <w:overflowPunct/>
        <w:topLinePunct w:val="0"/>
        <w:autoSpaceDE/>
        <w:autoSpaceDN/>
        <w:bidi w:val="0"/>
        <w:adjustRightInd/>
        <w:spacing w:before="40" w:beforeAutospacing="0" w:after="76" w:afterAutospacing="0" w:line="450" w:lineRule="atLeast"/>
        <w:textAlignment w:val="auto"/>
        <w:rPr>
          <w:rFonts w:hint="eastAsia" w:ascii="宋体" w:hAnsi="宋体" w:eastAsia="宋体" w:cs="宋体"/>
          <w:color w:val="333333"/>
          <w:shd w:val="clear" w:color="auto" w:fill="FFFFFF"/>
          <w:lang w:eastAsia="zh-CN"/>
        </w:rPr>
      </w:pPr>
      <w:r>
        <w:rPr>
          <w:rFonts w:hint="eastAsia" w:ascii="宋体" w:hAnsi="宋体" w:eastAsia="宋体" w:cs="宋体"/>
          <w:color w:val="333333"/>
          <w:shd w:val="clear" w:color="auto" w:fill="FFFFFF"/>
          <w:lang w:eastAsia="zh-CN"/>
        </w:rPr>
        <w:t>三、关于机关运行经费支出说明</w:t>
      </w:r>
    </w:p>
    <w:p w14:paraId="0A4FF0C9">
      <w:pPr>
        <w:pStyle w:val="6"/>
        <w:keepNext w:val="0"/>
        <w:keepLines w:val="0"/>
        <w:pageBreakBefore w:val="0"/>
        <w:widowControl/>
        <w:kinsoku/>
        <w:overflowPunct/>
        <w:topLinePunct w:val="0"/>
        <w:autoSpaceDE/>
        <w:autoSpaceDN/>
        <w:bidi w:val="0"/>
        <w:adjustRightInd/>
        <w:spacing w:before="40" w:beforeAutospacing="0" w:after="76" w:afterAutospacing="0" w:line="450" w:lineRule="atLeast"/>
        <w:textAlignment w:val="auto"/>
        <w:rPr>
          <w:rFonts w:hint="eastAsia" w:ascii="宋体" w:hAnsi="宋体" w:eastAsia="宋体" w:cs="宋体"/>
          <w:color w:val="333333"/>
          <w:shd w:val="clear" w:color="auto" w:fill="FFFFFF"/>
          <w:lang w:eastAsia="zh-CN"/>
        </w:rPr>
      </w:pPr>
      <w:r>
        <w:rPr>
          <w:rFonts w:hint="eastAsia" w:ascii="宋体" w:hAnsi="宋体" w:eastAsia="宋体" w:cs="宋体"/>
          <w:color w:val="333333"/>
          <w:shd w:val="clear" w:color="auto" w:fill="FFFFFF"/>
          <w:lang w:eastAsia="zh-CN"/>
        </w:rPr>
        <w:t>四、关于政府采购支出说明</w:t>
      </w:r>
    </w:p>
    <w:p w14:paraId="2B66C4BC">
      <w:pPr>
        <w:pStyle w:val="6"/>
        <w:keepNext w:val="0"/>
        <w:keepLines w:val="0"/>
        <w:pageBreakBefore w:val="0"/>
        <w:widowControl/>
        <w:kinsoku/>
        <w:overflowPunct/>
        <w:topLinePunct w:val="0"/>
        <w:autoSpaceDE/>
        <w:autoSpaceDN/>
        <w:bidi w:val="0"/>
        <w:adjustRightInd/>
        <w:spacing w:before="40" w:beforeAutospacing="0" w:after="76" w:afterAutospacing="0" w:line="450" w:lineRule="atLeast"/>
        <w:textAlignment w:val="auto"/>
        <w:rPr>
          <w:rFonts w:hint="eastAsia" w:ascii="宋体" w:hAnsi="宋体" w:eastAsia="宋体" w:cs="宋体"/>
          <w:color w:val="333333"/>
          <w:shd w:val="clear" w:color="auto" w:fill="FFFFFF"/>
          <w:lang w:eastAsia="zh-CN"/>
        </w:rPr>
      </w:pPr>
      <w:r>
        <w:rPr>
          <w:rFonts w:hint="eastAsia" w:ascii="宋体" w:hAnsi="宋体" w:eastAsia="宋体" w:cs="宋体"/>
          <w:color w:val="333333"/>
          <w:shd w:val="clear" w:color="auto" w:fill="FFFFFF"/>
          <w:lang w:eastAsia="zh-CN"/>
        </w:rPr>
        <w:t>五、关于国有资产占用情况说明</w:t>
      </w:r>
    </w:p>
    <w:p w14:paraId="497679F3">
      <w:pPr>
        <w:pStyle w:val="6"/>
        <w:keepNext w:val="0"/>
        <w:keepLines w:val="0"/>
        <w:pageBreakBefore w:val="0"/>
        <w:widowControl/>
        <w:kinsoku/>
        <w:overflowPunct/>
        <w:topLinePunct w:val="0"/>
        <w:autoSpaceDE/>
        <w:autoSpaceDN/>
        <w:bidi w:val="0"/>
        <w:adjustRightInd/>
        <w:spacing w:before="40" w:beforeAutospacing="0" w:after="76" w:afterAutospacing="0" w:line="450" w:lineRule="atLeast"/>
        <w:textAlignment w:val="auto"/>
        <w:rPr>
          <w:rFonts w:hint="eastAsia" w:ascii="宋体" w:hAnsi="宋体" w:eastAsia="宋体" w:cs="宋体"/>
          <w:color w:val="333333"/>
          <w:shd w:val="clear" w:color="auto" w:fill="FFFFFF"/>
          <w:lang w:eastAsia="zh-CN"/>
        </w:rPr>
      </w:pPr>
      <w:r>
        <w:rPr>
          <w:rFonts w:hint="eastAsia" w:ascii="宋体" w:hAnsi="宋体" w:eastAsia="宋体" w:cs="宋体"/>
          <w:color w:val="333333"/>
          <w:shd w:val="clear" w:color="auto" w:fill="FFFFFF"/>
          <w:lang w:eastAsia="zh-CN"/>
        </w:rPr>
        <w:t>六、重点绩效评价结果等预算绩效情况说明</w:t>
      </w:r>
    </w:p>
    <w:p w14:paraId="610BA2F2">
      <w:pPr>
        <w:pStyle w:val="6"/>
        <w:keepNext w:val="0"/>
        <w:keepLines w:val="0"/>
        <w:pageBreakBefore w:val="0"/>
        <w:widowControl/>
        <w:kinsoku/>
        <w:overflowPunct/>
        <w:topLinePunct w:val="0"/>
        <w:autoSpaceDE/>
        <w:autoSpaceDN/>
        <w:bidi w:val="0"/>
        <w:adjustRightInd/>
        <w:spacing w:before="40" w:beforeAutospacing="0" w:after="76" w:afterAutospacing="0" w:line="450" w:lineRule="atLeast"/>
        <w:textAlignment w:val="auto"/>
        <w:rPr>
          <w:rFonts w:hint="eastAsia" w:ascii="宋体" w:hAnsi="宋体" w:eastAsia="宋体" w:cs="宋体"/>
          <w:color w:val="333333"/>
          <w:shd w:val="clear" w:color="auto" w:fill="FFFFFF"/>
          <w:lang w:eastAsia="zh-CN"/>
        </w:rPr>
      </w:pPr>
      <w:r>
        <w:rPr>
          <w:rFonts w:hint="eastAsia" w:ascii="宋体" w:hAnsi="宋体" w:eastAsia="宋体" w:cs="宋体"/>
          <w:color w:val="333333"/>
          <w:shd w:val="clear" w:color="auto" w:fill="FFFFFF"/>
          <w:lang w:val="en-US" w:eastAsia="zh-CN"/>
        </w:rPr>
        <w:t>七</w:t>
      </w:r>
      <w:r>
        <w:rPr>
          <w:rFonts w:hint="eastAsia" w:ascii="宋体" w:hAnsi="宋体" w:eastAsia="宋体" w:cs="宋体"/>
          <w:color w:val="333333"/>
          <w:shd w:val="clear" w:color="auto" w:fill="FFFFFF"/>
          <w:lang w:eastAsia="zh-CN"/>
        </w:rPr>
        <w:t>、决算收支增减变化情况</w:t>
      </w:r>
    </w:p>
    <w:p w14:paraId="31D26DF4">
      <w:pPr>
        <w:keepNext w:val="0"/>
        <w:keepLines w:val="0"/>
        <w:pageBreakBefore w:val="0"/>
        <w:widowControl/>
        <w:shd w:val="clear" w:color="auto" w:fill="FFFFFF"/>
        <w:kinsoku/>
        <w:overflowPunct/>
        <w:topLinePunct w:val="0"/>
        <w:autoSpaceDE/>
        <w:autoSpaceDN/>
        <w:bidi w:val="0"/>
        <w:adjustRightInd/>
        <w:spacing w:before="40" w:line="560" w:lineRule="exact"/>
        <w:jc w:val="left"/>
        <w:textAlignment w:val="auto"/>
        <w:rPr>
          <w:rStyle w:val="9"/>
          <w:rFonts w:hint="eastAsia" w:ascii="宋体" w:hAnsi="宋体" w:eastAsia="宋体" w:cs="宋体"/>
          <w:color w:val="333333"/>
          <w:kern w:val="0"/>
          <w:sz w:val="24"/>
          <w:shd w:val="clear" w:color="auto" w:fill="FFFFFF"/>
        </w:rPr>
      </w:pPr>
      <w:r>
        <w:rPr>
          <w:rStyle w:val="9"/>
          <w:rFonts w:hint="eastAsia" w:ascii="宋体" w:hAnsi="宋体" w:eastAsia="宋体" w:cs="宋体"/>
          <w:color w:val="333333"/>
          <w:kern w:val="0"/>
          <w:sz w:val="24"/>
          <w:shd w:val="clear" w:color="auto" w:fill="FFFFFF"/>
        </w:rPr>
        <w:t>第四部分：名词解释</w:t>
      </w:r>
      <w:r>
        <w:rPr>
          <w:rFonts w:hint="eastAsia" w:ascii="宋体" w:hAnsi="宋体" w:eastAsia="宋体" w:cs="宋体"/>
          <w:color w:val="333333"/>
          <w:kern w:val="0"/>
          <w:sz w:val="24"/>
          <w:shd w:val="clear" w:color="auto" w:fill="FFFFFF"/>
        </w:rPr>
        <w:t> </w:t>
      </w:r>
    </w:p>
    <w:p w14:paraId="36284B41">
      <w:pPr>
        <w:keepNext w:val="0"/>
        <w:keepLines w:val="0"/>
        <w:pageBreakBefore w:val="0"/>
        <w:kinsoku/>
        <w:overflowPunct/>
        <w:topLinePunct w:val="0"/>
        <w:autoSpaceDE/>
        <w:autoSpaceDN/>
        <w:bidi w:val="0"/>
        <w:adjustRightInd/>
        <w:spacing w:before="40" w:line="560" w:lineRule="exact"/>
        <w:textAlignment w:val="auto"/>
        <w:rPr>
          <w:rStyle w:val="9"/>
          <w:rFonts w:hint="eastAsia" w:ascii="宋体" w:hAnsi="宋体" w:eastAsia="宋体" w:cs="宋体"/>
          <w:color w:val="333333"/>
          <w:kern w:val="0"/>
          <w:sz w:val="24"/>
          <w:shd w:val="clear" w:color="auto" w:fill="FFFFFF"/>
        </w:rPr>
      </w:pPr>
    </w:p>
    <w:p w14:paraId="075C4434">
      <w:pPr>
        <w:keepNext w:val="0"/>
        <w:keepLines w:val="0"/>
        <w:pageBreakBefore w:val="0"/>
        <w:kinsoku/>
        <w:overflowPunct/>
        <w:topLinePunct w:val="0"/>
        <w:autoSpaceDE/>
        <w:autoSpaceDN/>
        <w:bidi w:val="0"/>
        <w:adjustRightInd/>
        <w:spacing w:before="40" w:line="560" w:lineRule="exact"/>
        <w:textAlignment w:val="auto"/>
        <w:rPr>
          <w:rStyle w:val="9"/>
          <w:rFonts w:hint="eastAsia" w:ascii="宋体" w:hAnsi="宋体" w:eastAsia="宋体" w:cs="宋体"/>
          <w:color w:val="333333"/>
          <w:kern w:val="0"/>
          <w:sz w:val="24"/>
          <w:shd w:val="clear" w:color="auto" w:fill="FFFFFF"/>
        </w:rPr>
      </w:pPr>
    </w:p>
    <w:p w14:paraId="1D41FB12">
      <w:pPr>
        <w:keepNext w:val="0"/>
        <w:keepLines w:val="0"/>
        <w:pageBreakBefore w:val="0"/>
        <w:kinsoku/>
        <w:overflowPunct/>
        <w:topLinePunct w:val="0"/>
        <w:autoSpaceDE/>
        <w:autoSpaceDN/>
        <w:bidi w:val="0"/>
        <w:adjustRightInd/>
        <w:spacing w:before="40" w:line="560" w:lineRule="exact"/>
        <w:textAlignment w:val="auto"/>
        <w:rPr>
          <w:rStyle w:val="9"/>
          <w:rFonts w:hint="eastAsia" w:ascii="宋体" w:hAnsi="宋体" w:eastAsia="宋体" w:cs="宋体"/>
          <w:color w:val="333333"/>
          <w:kern w:val="0"/>
          <w:sz w:val="24"/>
          <w:shd w:val="clear" w:color="auto" w:fill="FFFFFF"/>
        </w:rPr>
      </w:pPr>
    </w:p>
    <w:p w14:paraId="15D8AB48">
      <w:pPr>
        <w:keepNext w:val="0"/>
        <w:keepLines w:val="0"/>
        <w:pageBreakBefore w:val="0"/>
        <w:kinsoku/>
        <w:overflowPunct/>
        <w:topLinePunct w:val="0"/>
        <w:autoSpaceDE/>
        <w:autoSpaceDN/>
        <w:bidi w:val="0"/>
        <w:adjustRightInd/>
        <w:spacing w:before="40" w:line="560" w:lineRule="exact"/>
        <w:textAlignment w:val="auto"/>
        <w:rPr>
          <w:rStyle w:val="9"/>
          <w:rFonts w:hint="eastAsia" w:ascii="宋体" w:hAnsi="宋体" w:eastAsia="宋体" w:cs="宋体"/>
          <w:color w:val="333333"/>
          <w:kern w:val="0"/>
          <w:sz w:val="24"/>
          <w:shd w:val="clear" w:color="auto" w:fill="FFFFFF"/>
        </w:rPr>
      </w:pPr>
    </w:p>
    <w:p w14:paraId="5060F9E9">
      <w:pPr>
        <w:keepNext w:val="0"/>
        <w:keepLines w:val="0"/>
        <w:pageBreakBefore w:val="0"/>
        <w:kinsoku/>
        <w:overflowPunct/>
        <w:topLinePunct w:val="0"/>
        <w:autoSpaceDE/>
        <w:autoSpaceDN/>
        <w:bidi w:val="0"/>
        <w:adjustRightInd/>
        <w:spacing w:before="40" w:line="560" w:lineRule="exact"/>
        <w:textAlignment w:val="auto"/>
        <w:rPr>
          <w:rStyle w:val="9"/>
          <w:rFonts w:hint="eastAsia" w:ascii="宋体" w:hAnsi="宋体" w:eastAsia="宋体" w:cs="宋体"/>
          <w:color w:val="333333"/>
          <w:kern w:val="0"/>
          <w:sz w:val="24"/>
          <w:shd w:val="clear" w:color="auto" w:fill="FFFFFF"/>
        </w:rPr>
      </w:pPr>
    </w:p>
    <w:p w14:paraId="75ED389F">
      <w:pPr>
        <w:keepNext w:val="0"/>
        <w:keepLines w:val="0"/>
        <w:pageBreakBefore w:val="0"/>
        <w:kinsoku/>
        <w:overflowPunct/>
        <w:topLinePunct w:val="0"/>
        <w:autoSpaceDE/>
        <w:autoSpaceDN/>
        <w:bidi w:val="0"/>
        <w:adjustRightInd/>
        <w:spacing w:before="40" w:line="560" w:lineRule="exact"/>
        <w:textAlignment w:val="auto"/>
        <w:rPr>
          <w:rStyle w:val="9"/>
          <w:rFonts w:hint="eastAsia" w:ascii="宋体" w:hAnsi="宋体" w:eastAsia="宋体" w:cs="宋体"/>
          <w:color w:val="333333"/>
          <w:kern w:val="0"/>
          <w:sz w:val="24"/>
          <w:shd w:val="clear" w:color="auto" w:fill="FFFFFF"/>
        </w:rPr>
      </w:pPr>
      <w:r>
        <w:rPr>
          <w:rStyle w:val="9"/>
          <w:rFonts w:hint="eastAsia" w:ascii="宋体" w:hAnsi="宋体" w:eastAsia="宋体" w:cs="宋体"/>
          <w:color w:val="333333"/>
          <w:kern w:val="0"/>
          <w:sz w:val="24"/>
          <w:shd w:val="clear" w:color="auto" w:fill="FFFFFF"/>
        </w:rPr>
        <w:t>第一部分：部门基本情况</w:t>
      </w:r>
    </w:p>
    <w:p w14:paraId="611E7DA8">
      <w:pPr>
        <w:keepNext w:val="0"/>
        <w:keepLines w:val="0"/>
        <w:pageBreakBefore w:val="0"/>
        <w:kinsoku/>
        <w:overflowPunct/>
        <w:topLinePunct w:val="0"/>
        <w:autoSpaceDE/>
        <w:autoSpaceDN/>
        <w:bidi w:val="0"/>
        <w:adjustRightInd/>
        <w:spacing w:before="40" w:line="560" w:lineRule="exact"/>
        <w:textAlignment w:val="auto"/>
        <w:rPr>
          <w:rStyle w:val="9"/>
          <w:rFonts w:hint="eastAsia" w:ascii="宋体" w:hAnsi="宋体" w:eastAsia="宋体" w:cs="宋体"/>
          <w:color w:val="333333"/>
          <w:kern w:val="0"/>
          <w:sz w:val="24"/>
          <w:shd w:val="clear" w:color="auto" w:fill="FFFFFF"/>
        </w:rPr>
      </w:pPr>
    </w:p>
    <w:p w14:paraId="0B7F5D47">
      <w:pPr>
        <w:keepNext w:val="0"/>
        <w:keepLines w:val="0"/>
        <w:pageBreakBefore w:val="0"/>
        <w:numPr>
          <w:ilvl w:val="0"/>
          <w:numId w:val="2"/>
        </w:numPr>
        <w:kinsoku/>
        <w:wordWrap w:val="0"/>
        <w:overflowPunct/>
        <w:topLinePunct w:val="0"/>
        <w:autoSpaceDE/>
        <w:autoSpaceDN/>
        <w:bidi w:val="0"/>
        <w:adjustRightInd/>
        <w:spacing w:before="40" w:after="120" w:line="560" w:lineRule="atLeast"/>
        <w:textAlignment w:val="auto"/>
        <w:rPr>
          <w:rFonts w:hint="eastAsia" w:ascii="宋体" w:hAnsi="宋体" w:eastAsia="宋体" w:cs="宋体"/>
          <w:sz w:val="28"/>
          <w:szCs w:val="28"/>
        </w:rPr>
      </w:pPr>
      <w:r>
        <w:rPr>
          <w:rFonts w:hint="eastAsia" w:ascii="宋体" w:hAnsi="宋体" w:eastAsia="宋体" w:cs="宋体"/>
          <w:b/>
          <w:bCs/>
          <w:color w:val="000000"/>
          <w:spacing w:val="2"/>
          <w:sz w:val="28"/>
          <w:szCs w:val="28"/>
        </w:rPr>
        <w:t>部门主要职责</w:t>
      </w:r>
    </w:p>
    <w:p w14:paraId="19247983">
      <w:pPr>
        <w:keepNext w:val="0"/>
        <w:keepLines w:val="0"/>
        <w:pageBreakBefore w:val="0"/>
        <w:numPr>
          <w:ilvl w:val="0"/>
          <w:numId w:val="0"/>
        </w:numPr>
        <w:kinsoku/>
        <w:wordWrap w:val="0"/>
        <w:overflowPunct/>
        <w:topLinePunct w:val="0"/>
        <w:autoSpaceDE/>
        <w:autoSpaceDN/>
        <w:bidi w:val="0"/>
        <w:adjustRightInd/>
        <w:spacing w:before="40" w:after="120" w:line="560" w:lineRule="atLeast"/>
        <w:ind w:firstLine="560" w:firstLineChars="200"/>
        <w:textAlignment w:val="auto"/>
        <w:rPr>
          <w:rFonts w:hint="eastAsia" w:ascii="宋体" w:hAnsi="宋体" w:eastAsia="宋体" w:cs="宋体"/>
          <w:sz w:val="28"/>
          <w:szCs w:val="28"/>
        </w:rPr>
      </w:pPr>
      <w:r>
        <w:rPr>
          <w:rFonts w:hint="eastAsia" w:ascii="宋体" w:hAnsi="宋体" w:eastAsia="宋体" w:cs="宋体"/>
          <w:color w:val="000000"/>
          <w:sz w:val="28"/>
          <w:szCs w:val="28"/>
        </w:rPr>
        <w:t>宣传、执行党的路线、方针、政策和国家法律、法规、保证市、区政府决议、决定的落实，对居民进行思想政治教育和社会主义法制教育。组织领导街道区域经济工作，制定街道经济发展规划，检查、督促各经济组织开展工作，负责街道财政</w:t>
      </w:r>
      <w:r>
        <w:rPr>
          <w:rFonts w:hint="eastAsia" w:ascii="宋体" w:hAnsi="宋体" w:eastAsia="宋体" w:cs="宋体"/>
          <w:color w:val="000000"/>
          <w:sz w:val="28"/>
          <w:szCs w:val="28"/>
          <w:lang w:eastAsia="zh-CN"/>
        </w:rPr>
        <w:t>决算</w:t>
      </w:r>
      <w:r>
        <w:rPr>
          <w:rFonts w:hint="eastAsia" w:ascii="宋体" w:hAnsi="宋体" w:eastAsia="宋体" w:cs="宋体"/>
          <w:color w:val="000000"/>
          <w:sz w:val="28"/>
          <w:szCs w:val="28"/>
        </w:rPr>
        <w:t>和收支管理，进行财务审计和有关项目统计。制定社会治安综合治理规划并组织实施，加强外来人口管理，开展民事调解，保护老人、儿童、妇女、残疾人和青少年的合法权益，保障辖区内政治稳定和社会安定。开展群众文化、科普、体育、校外教育及卫生保健工作，建设社会主义精神文明。开展爱国卫生、计划生育、市容卫生、环境保护、绿化美化工作。开展社会救济、社区服务、离退休人员管理、拥军优属、征集兵员以及殡葬管理工作，兴办社会福利事业，发展社会福利生产。指导居民委员会工作，促进居民委员会建设，提高居民委员会自治能力，发挥居民委员会作用。参与城市建设、危房改造及住宅小区的管理工作。协助有关部门搞好劳动力资源开发、配置、管理、监督及劳动保险的政策贯彻和社会化管理工作。配合有关部门做好防空、防汛、防水、防震、交通管理、抢险救灾工作。向区人民政府反映居民群众的意见和要求，办理人民群众来信来访事项，做好为居民群众服务工作</w:t>
      </w:r>
      <w:r>
        <w:rPr>
          <w:rFonts w:hint="eastAsia" w:ascii="宋体" w:hAnsi="宋体" w:eastAsia="宋体" w:cs="宋体"/>
          <w:bCs/>
          <w:sz w:val="28"/>
          <w:szCs w:val="28"/>
        </w:rPr>
        <w:t>。</w:t>
      </w:r>
    </w:p>
    <w:p w14:paraId="0F542C36">
      <w:pPr>
        <w:keepNext w:val="0"/>
        <w:keepLines w:val="0"/>
        <w:pageBreakBefore w:val="0"/>
        <w:kinsoku/>
        <w:overflowPunct/>
        <w:topLinePunct w:val="0"/>
        <w:autoSpaceDE/>
        <w:autoSpaceDN/>
        <w:bidi w:val="0"/>
        <w:adjustRightInd/>
        <w:spacing w:before="40" w:line="560" w:lineRule="exact"/>
        <w:textAlignment w:val="auto"/>
        <w:rPr>
          <w:rFonts w:hint="eastAsia" w:ascii="宋体" w:hAnsi="宋体" w:eastAsia="宋体" w:cs="宋体"/>
          <w:b/>
          <w:bCs/>
          <w:color w:val="000000"/>
          <w:spacing w:val="2"/>
          <w:sz w:val="28"/>
          <w:szCs w:val="28"/>
        </w:rPr>
      </w:pPr>
      <w:r>
        <w:rPr>
          <w:rFonts w:hint="eastAsia" w:ascii="宋体" w:hAnsi="宋体" w:eastAsia="宋体" w:cs="宋体"/>
          <w:b/>
          <w:bCs/>
          <w:sz w:val="28"/>
          <w:szCs w:val="28"/>
        </w:rPr>
        <w:t>二、</w:t>
      </w:r>
      <w:r>
        <w:rPr>
          <w:rFonts w:hint="eastAsia" w:ascii="宋体" w:hAnsi="宋体" w:eastAsia="宋体" w:cs="宋体"/>
          <w:b/>
          <w:bCs/>
          <w:color w:val="000000"/>
          <w:spacing w:val="2"/>
          <w:sz w:val="28"/>
          <w:szCs w:val="28"/>
        </w:rPr>
        <w:t>部门</w:t>
      </w:r>
      <w:r>
        <w:rPr>
          <w:rFonts w:hint="eastAsia" w:ascii="宋体" w:hAnsi="宋体" w:eastAsia="宋体" w:cs="宋体"/>
          <w:b/>
          <w:bCs/>
          <w:color w:val="000000"/>
          <w:spacing w:val="2"/>
          <w:sz w:val="28"/>
          <w:szCs w:val="28"/>
          <w:lang w:eastAsia="zh-CN"/>
        </w:rPr>
        <w:t>决算</w:t>
      </w:r>
      <w:r>
        <w:rPr>
          <w:rFonts w:hint="eastAsia" w:ascii="宋体" w:hAnsi="宋体" w:eastAsia="宋体" w:cs="宋体"/>
          <w:b/>
          <w:bCs/>
          <w:color w:val="000000"/>
          <w:spacing w:val="2"/>
          <w:sz w:val="28"/>
          <w:szCs w:val="28"/>
        </w:rPr>
        <w:t>单位构成</w:t>
      </w:r>
    </w:p>
    <w:p w14:paraId="5A3A4D91">
      <w:pPr>
        <w:keepNext w:val="0"/>
        <w:keepLines w:val="0"/>
        <w:pageBreakBefore w:val="0"/>
        <w:widowControl/>
        <w:shd w:val="clear" w:color="auto" w:fill="FFFFFF"/>
        <w:kinsoku/>
        <w:overflowPunct/>
        <w:topLinePunct w:val="0"/>
        <w:autoSpaceDE/>
        <w:autoSpaceDN/>
        <w:bidi w:val="0"/>
        <w:adjustRightInd/>
        <w:spacing w:before="40"/>
        <w:ind w:firstLine="480"/>
        <w:jc w:val="left"/>
        <w:textAlignment w:val="auto"/>
        <w:rPr>
          <w:rFonts w:hint="eastAsia" w:ascii="宋体" w:hAnsi="宋体" w:eastAsia="宋体" w:cs="宋体"/>
          <w:color w:val="333333"/>
          <w:kern w:val="0"/>
          <w:sz w:val="28"/>
          <w:szCs w:val="28"/>
        </w:rPr>
      </w:pPr>
      <w:r>
        <w:rPr>
          <w:rFonts w:hint="eastAsia" w:ascii="宋体" w:hAnsi="宋体" w:eastAsia="宋体" w:cs="宋体"/>
          <w:color w:val="000000"/>
          <w:sz w:val="28"/>
          <w:szCs w:val="28"/>
        </w:rPr>
        <w:t>内设机构：公共服务中心、经济服务中心、城管建设管理中心、综合办、党群办、法治办</w:t>
      </w:r>
      <w:r>
        <w:rPr>
          <w:rFonts w:hint="eastAsia" w:ascii="宋体" w:hAnsi="宋体" w:eastAsia="宋体" w:cs="宋体"/>
          <w:color w:val="333333"/>
          <w:kern w:val="0"/>
          <w:sz w:val="28"/>
          <w:szCs w:val="28"/>
        </w:rPr>
        <w:t>。</w:t>
      </w:r>
    </w:p>
    <w:p w14:paraId="68EE40BC">
      <w:pPr>
        <w:keepNext w:val="0"/>
        <w:keepLines w:val="0"/>
        <w:pageBreakBefore w:val="0"/>
        <w:widowControl/>
        <w:kinsoku/>
        <w:overflowPunct/>
        <w:topLinePunct w:val="0"/>
        <w:autoSpaceDE/>
        <w:autoSpaceDN/>
        <w:bidi w:val="0"/>
        <w:adjustRightInd/>
        <w:spacing w:before="40"/>
        <w:textAlignment w:val="auto"/>
        <w:rPr>
          <w:rFonts w:hint="eastAsia" w:ascii="宋体" w:hAnsi="宋体" w:eastAsia="宋体" w:cs="宋体"/>
          <w:color w:val="000000"/>
          <w:kern w:val="0"/>
          <w:sz w:val="28"/>
          <w:szCs w:val="28"/>
        </w:rPr>
      </w:pPr>
    </w:p>
    <w:p w14:paraId="3B00729E">
      <w:pPr>
        <w:keepNext w:val="0"/>
        <w:keepLines w:val="0"/>
        <w:pageBreakBefore w:val="0"/>
        <w:widowControl/>
        <w:kinsoku/>
        <w:overflowPunct/>
        <w:topLinePunct w:val="0"/>
        <w:autoSpaceDE/>
        <w:autoSpaceDN/>
        <w:bidi w:val="0"/>
        <w:adjustRightInd/>
        <w:spacing w:before="40"/>
        <w:textAlignment w:val="auto"/>
        <w:rPr>
          <w:rFonts w:hint="eastAsia" w:ascii="宋体" w:hAnsi="宋体" w:eastAsia="宋体" w:cs="宋体"/>
          <w:color w:val="000000"/>
          <w:kern w:val="0"/>
          <w:sz w:val="28"/>
          <w:szCs w:val="28"/>
        </w:rPr>
      </w:pPr>
    </w:p>
    <w:p w14:paraId="0C7BF25F">
      <w:pPr>
        <w:keepNext w:val="0"/>
        <w:keepLines w:val="0"/>
        <w:pageBreakBefore w:val="0"/>
        <w:widowControl/>
        <w:kinsoku/>
        <w:overflowPunct/>
        <w:topLinePunct w:val="0"/>
        <w:autoSpaceDE/>
        <w:autoSpaceDN/>
        <w:bidi w:val="0"/>
        <w:adjustRightInd/>
        <w:spacing w:before="40"/>
        <w:jc w:val="left"/>
        <w:textAlignment w:val="auto"/>
        <w:rPr>
          <w:rStyle w:val="9"/>
          <w:rFonts w:hint="eastAsia" w:ascii="宋体" w:hAnsi="宋体" w:eastAsia="宋体" w:cs="宋体"/>
          <w:color w:val="333333"/>
          <w:kern w:val="0"/>
          <w:sz w:val="24"/>
          <w:szCs w:val="22"/>
          <w:highlight w:val="none"/>
          <w:shd w:val="clear" w:color="auto" w:fill="FFFFFF"/>
        </w:rPr>
      </w:pPr>
    </w:p>
    <w:p w14:paraId="55C5662A">
      <w:pPr>
        <w:keepNext w:val="0"/>
        <w:keepLines w:val="0"/>
        <w:pageBreakBefore w:val="0"/>
        <w:widowControl/>
        <w:kinsoku/>
        <w:overflowPunct/>
        <w:topLinePunct w:val="0"/>
        <w:autoSpaceDE/>
        <w:autoSpaceDN/>
        <w:bidi w:val="0"/>
        <w:adjustRightInd/>
        <w:spacing w:before="40"/>
        <w:jc w:val="left"/>
        <w:textAlignment w:val="auto"/>
        <w:rPr>
          <w:rStyle w:val="9"/>
          <w:rFonts w:hint="eastAsia" w:ascii="宋体" w:hAnsi="宋体" w:eastAsia="宋体" w:cs="宋体"/>
          <w:color w:val="333333"/>
          <w:kern w:val="0"/>
          <w:sz w:val="24"/>
          <w:szCs w:val="22"/>
          <w:highlight w:val="none"/>
          <w:shd w:val="clear" w:color="auto" w:fill="FFFFFF"/>
        </w:rPr>
      </w:pPr>
    </w:p>
    <w:p w14:paraId="235F7AB6">
      <w:pPr>
        <w:keepNext w:val="0"/>
        <w:keepLines w:val="0"/>
        <w:pageBreakBefore w:val="0"/>
        <w:widowControl/>
        <w:kinsoku/>
        <w:overflowPunct/>
        <w:topLinePunct w:val="0"/>
        <w:autoSpaceDE/>
        <w:autoSpaceDN/>
        <w:bidi w:val="0"/>
        <w:adjustRightInd/>
        <w:spacing w:before="40"/>
        <w:jc w:val="left"/>
        <w:textAlignment w:val="auto"/>
        <w:rPr>
          <w:rStyle w:val="9"/>
          <w:rFonts w:hint="eastAsia" w:ascii="宋体" w:hAnsi="宋体" w:eastAsia="宋体" w:cs="宋体"/>
          <w:color w:val="333333"/>
          <w:kern w:val="0"/>
          <w:sz w:val="24"/>
          <w:szCs w:val="22"/>
          <w:highlight w:val="none"/>
          <w:shd w:val="clear" w:color="auto" w:fill="FFFFFF"/>
        </w:rPr>
      </w:pPr>
    </w:p>
    <w:p w14:paraId="7BB4810D">
      <w:pPr>
        <w:keepNext w:val="0"/>
        <w:keepLines w:val="0"/>
        <w:pageBreakBefore w:val="0"/>
        <w:widowControl/>
        <w:kinsoku/>
        <w:overflowPunct/>
        <w:topLinePunct w:val="0"/>
        <w:autoSpaceDE/>
        <w:autoSpaceDN/>
        <w:bidi w:val="0"/>
        <w:adjustRightInd/>
        <w:spacing w:before="40"/>
        <w:jc w:val="left"/>
        <w:textAlignment w:val="auto"/>
        <w:rPr>
          <w:rStyle w:val="9"/>
          <w:rFonts w:hint="eastAsia" w:ascii="宋体" w:hAnsi="宋体" w:eastAsia="宋体" w:cs="宋体"/>
          <w:color w:val="333333"/>
          <w:kern w:val="0"/>
          <w:sz w:val="24"/>
          <w:szCs w:val="22"/>
          <w:highlight w:val="none"/>
          <w:shd w:val="clear" w:color="auto" w:fill="FFFFFF"/>
        </w:rPr>
      </w:pPr>
    </w:p>
    <w:p w14:paraId="05D68070">
      <w:pPr>
        <w:keepNext w:val="0"/>
        <w:keepLines w:val="0"/>
        <w:pageBreakBefore w:val="0"/>
        <w:widowControl/>
        <w:kinsoku/>
        <w:overflowPunct/>
        <w:topLinePunct w:val="0"/>
        <w:autoSpaceDE/>
        <w:autoSpaceDN/>
        <w:bidi w:val="0"/>
        <w:adjustRightInd/>
        <w:spacing w:before="40"/>
        <w:jc w:val="left"/>
        <w:textAlignment w:val="auto"/>
        <w:rPr>
          <w:rStyle w:val="9"/>
          <w:rFonts w:hint="eastAsia" w:ascii="宋体" w:hAnsi="宋体" w:eastAsia="宋体" w:cs="宋体"/>
          <w:color w:val="333333"/>
          <w:kern w:val="0"/>
          <w:sz w:val="24"/>
          <w:szCs w:val="22"/>
          <w:highlight w:val="none"/>
          <w:shd w:val="clear" w:color="auto" w:fill="FFFFFF"/>
        </w:rPr>
      </w:pPr>
    </w:p>
    <w:p w14:paraId="78CC8997">
      <w:pPr>
        <w:keepNext w:val="0"/>
        <w:keepLines w:val="0"/>
        <w:pageBreakBefore w:val="0"/>
        <w:widowControl/>
        <w:kinsoku/>
        <w:overflowPunct/>
        <w:topLinePunct w:val="0"/>
        <w:autoSpaceDE/>
        <w:autoSpaceDN/>
        <w:bidi w:val="0"/>
        <w:adjustRightInd/>
        <w:spacing w:before="40"/>
        <w:jc w:val="left"/>
        <w:textAlignment w:val="auto"/>
        <w:rPr>
          <w:rStyle w:val="9"/>
          <w:rFonts w:hint="eastAsia" w:ascii="宋体" w:hAnsi="宋体" w:eastAsia="宋体" w:cs="宋体"/>
          <w:color w:val="333333"/>
          <w:kern w:val="0"/>
          <w:sz w:val="24"/>
          <w:szCs w:val="22"/>
          <w:highlight w:val="none"/>
          <w:shd w:val="clear" w:color="auto" w:fill="FFFFFF"/>
        </w:rPr>
      </w:pPr>
    </w:p>
    <w:p w14:paraId="3CAF8946">
      <w:pPr>
        <w:keepNext w:val="0"/>
        <w:keepLines w:val="0"/>
        <w:pageBreakBefore w:val="0"/>
        <w:widowControl/>
        <w:kinsoku/>
        <w:overflowPunct/>
        <w:topLinePunct w:val="0"/>
        <w:autoSpaceDE/>
        <w:autoSpaceDN/>
        <w:bidi w:val="0"/>
        <w:adjustRightInd/>
        <w:spacing w:before="40"/>
        <w:jc w:val="left"/>
        <w:textAlignment w:val="auto"/>
        <w:rPr>
          <w:rStyle w:val="9"/>
          <w:rFonts w:hint="eastAsia" w:ascii="宋体" w:hAnsi="宋体" w:eastAsia="宋体" w:cs="宋体"/>
          <w:color w:val="333333"/>
          <w:kern w:val="0"/>
          <w:sz w:val="24"/>
          <w:szCs w:val="22"/>
          <w:highlight w:val="none"/>
          <w:shd w:val="clear" w:color="auto" w:fill="FFFFFF"/>
        </w:rPr>
      </w:pPr>
    </w:p>
    <w:p w14:paraId="68C59F6A">
      <w:pPr>
        <w:keepNext w:val="0"/>
        <w:keepLines w:val="0"/>
        <w:pageBreakBefore w:val="0"/>
        <w:widowControl/>
        <w:kinsoku/>
        <w:overflowPunct/>
        <w:topLinePunct w:val="0"/>
        <w:autoSpaceDE/>
        <w:autoSpaceDN/>
        <w:bidi w:val="0"/>
        <w:adjustRightInd/>
        <w:spacing w:before="40"/>
        <w:jc w:val="left"/>
        <w:textAlignment w:val="auto"/>
        <w:rPr>
          <w:rStyle w:val="9"/>
          <w:rFonts w:hint="eastAsia" w:ascii="宋体" w:hAnsi="宋体" w:eastAsia="宋体" w:cs="宋体"/>
          <w:color w:val="333333"/>
          <w:kern w:val="0"/>
          <w:sz w:val="24"/>
          <w:szCs w:val="22"/>
          <w:highlight w:val="none"/>
          <w:shd w:val="clear" w:color="auto" w:fill="FFFFFF"/>
        </w:rPr>
      </w:pPr>
    </w:p>
    <w:p w14:paraId="18CDB284">
      <w:pPr>
        <w:keepNext w:val="0"/>
        <w:keepLines w:val="0"/>
        <w:pageBreakBefore w:val="0"/>
        <w:widowControl/>
        <w:kinsoku/>
        <w:overflowPunct/>
        <w:topLinePunct w:val="0"/>
        <w:autoSpaceDE/>
        <w:autoSpaceDN/>
        <w:bidi w:val="0"/>
        <w:adjustRightInd/>
        <w:spacing w:before="40"/>
        <w:jc w:val="left"/>
        <w:textAlignment w:val="auto"/>
        <w:rPr>
          <w:rStyle w:val="9"/>
          <w:rFonts w:hint="eastAsia" w:ascii="宋体" w:hAnsi="宋体" w:eastAsia="宋体" w:cs="宋体"/>
          <w:color w:val="333333"/>
          <w:kern w:val="0"/>
          <w:sz w:val="24"/>
          <w:szCs w:val="22"/>
          <w:highlight w:val="none"/>
          <w:shd w:val="clear" w:color="auto" w:fill="FFFFFF"/>
        </w:rPr>
      </w:pPr>
    </w:p>
    <w:p w14:paraId="2E6B68D4">
      <w:pPr>
        <w:keepNext w:val="0"/>
        <w:keepLines w:val="0"/>
        <w:pageBreakBefore w:val="0"/>
        <w:widowControl/>
        <w:kinsoku/>
        <w:overflowPunct/>
        <w:topLinePunct w:val="0"/>
        <w:autoSpaceDE/>
        <w:autoSpaceDN/>
        <w:bidi w:val="0"/>
        <w:adjustRightInd/>
        <w:spacing w:before="40"/>
        <w:jc w:val="left"/>
        <w:textAlignment w:val="auto"/>
        <w:rPr>
          <w:rStyle w:val="9"/>
          <w:rFonts w:hint="eastAsia" w:ascii="宋体" w:hAnsi="宋体" w:eastAsia="宋体" w:cs="宋体"/>
          <w:color w:val="333333"/>
          <w:kern w:val="0"/>
          <w:sz w:val="24"/>
          <w:szCs w:val="22"/>
          <w:highlight w:val="none"/>
          <w:shd w:val="clear" w:color="auto" w:fill="FFFFFF"/>
        </w:rPr>
      </w:pPr>
    </w:p>
    <w:p w14:paraId="0BA4D52F">
      <w:pPr>
        <w:keepNext w:val="0"/>
        <w:keepLines w:val="0"/>
        <w:pageBreakBefore w:val="0"/>
        <w:widowControl/>
        <w:kinsoku/>
        <w:overflowPunct/>
        <w:topLinePunct w:val="0"/>
        <w:autoSpaceDE/>
        <w:autoSpaceDN/>
        <w:bidi w:val="0"/>
        <w:adjustRightInd/>
        <w:spacing w:before="40"/>
        <w:jc w:val="left"/>
        <w:textAlignment w:val="auto"/>
        <w:rPr>
          <w:rStyle w:val="9"/>
          <w:rFonts w:hint="eastAsia" w:ascii="宋体" w:hAnsi="宋体" w:eastAsia="宋体" w:cs="宋体"/>
          <w:color w:val="333333"/>
          <w:kern w:val="0"/>
          <w:sz w:val="24"/>
          <w:szCs w:val="22"/>
          <w:highlight w:val="none"/>
          <w:shd w:val="clear" w:color="auto" w:fill="FFFFFF"/>
        </w:rPr>
      </w:pPr>
    </w:p>
    <w:p w14:paraId="4215EE18">
      <w:pPr>
        <w:keepNext w:val="0"/>
        <w:keepLines w:val="0"/>
        <w:pageBreakBefore w:val="0"/>
        <w:widowControl/>
        <w:kinsoku/>
        <w:overflowPunct/>
        <w:topLinePunct w:val="0"/>
        <w:autoSpaceDE/>
        <w:autoSpaceDN/>
        <w:bidi w:val="0"/>
        <w:adjustRightInd/>
        <w:spacing w:before="40"/>
        <w:jc w:val="left"/>
        <w:textAlignment w:val="auto"/>
        <w:rPr>
          <w:rStyle w:val="9"/>
          <w:rFonts w:hint="eastAsia" w:ascii="宋体" w:hAnsi="宋体" w:eastAsia="宋体" w:cs="宋体"/>
          <w:color w:val="333333"/>
          <w:kern w:val="0"/>
          <w:sz w:val="24"/>
          <w:szCs w:val="22"/>
          <w:highlight w:val="none"/>
          <w:shd w:val="clear" w:color="auto" w:fill="FFFFFF"/>
        </w:rPr>
      </w:pPr>
    </w:p>
    <w:p w14:paraId="450C09B8">
      <w:pPr>
        <w:keepNext w:val="0"/>
        <w:keepLines w:val="0"/>
        <w:pageBreakBefore w:val="0"/>
        <w:widowControl/>
        <w:kinsoku/>
        <w:overflowPunct/>
        <w:topLinePunct w:val="0"/>
        <w:autoSpaceDE/>
        <w:autoSpaceDN/>
        <w:bidi w:val="0"/>
        <w:adjustRightInd/>
        <w:spacing w:before="40"/>
        <w:jc w:val="left"/>
        <w:textAlignment w:val="auto"/>
        <w:rPr>
          <w:rStyle w:val="9"/>
          <w:rFonts w:hint="eastAsia" w:ascii="宋体" w:hAnsi="宋体" w:eastAsia="宋体" w:cs="宋体"/>
          <w:color w:val="333333"/>
          <w:kern w:val="0"/>
          <w:sz w:val="24"/>
          <w:szCs w:val="22"/>
          <w:highlight w:val="none"/>
          <w:shd w:val="clear" w:color="auto" w:fill="FFFFFF"/>
        </w:rPr>
      </w:pPr>
      <w:r>
        <w:rPr>
          <w:rStyle w:val="9"/>
          <w:rFonts w:hint="eastAsia" w:ascii="宋体" w:hAnsi="宋体" w:eastAsia="宋体" w:cs="宋体"/>
          <w:color w:val="333333"/>
          <w:kern w:val="0"/>
          <w:sz w:val="24"/>
          <w:szCs w:val="22"/>
          <w:highlight w:val="none"/>
          <w:shd w:val="clear" w:color="auto" w:fill="FFFFFF"/>
        </w:rPr>
        <w:t>第二部分: 部门</w:t>
      </w:r>
      <w:r>
        <w:rPr>
          <w:rStyle w:val="9"/>
          <w:rFonts w:hint="eastAsia" w:ascii="宋体" w:hAnsi="宋体" w:eastAsia="宋体" w:cs="宋体"/>
          <w:color w:val="333333"/>
          <w:kern w:val="0"/>
          <w:sz w:val="24"/>
          <w:szCs w:val="22"/>
          <w:highlight w:val="none"/>
          <w:shd w:val="clear" w:color="auto" w:fill="FFFFFF"/>
          <w:lang w:eastAsia="zh-CN"/>
        </w:rPr>
        <w:t>2021年</w:t>
      </w:r>
      <w:r>
        <w:rPr>
          <w:rStyle w:val="9"/>
          <w:rFonts w:hint="eastAsia" w:ascii="宋体" w:hAnsi="宋体" w:eastAsia="宋体" w:cs="宋体"/>
          <w:color w:val="333333"/>
          <w:kern w:val="0"/>
          <w:sz w:val="24"/>
          <w:szCs w:val="22"/>
          <w:highlight w:val="none"/>
          <w:shd w:val="clear" w:color="auto" w:fill="FFFFFF"/>
        </w:rPr>
        <w:t>部门</w:t>
      </w:r>
      <w:r>
        <w:rPr>
          <w:rStyle w:val="9"/>
          <w:rFonts w:hint="eastAsia" w:ascii="宋体" w:hAnsi="宋体" w:eastAsia="宋体" w:cs="宋体"/>
          <w:color w:val="333333"/>
          <w:kern w:val="0"/>
          <w:sz w:val="24"/>
          <w:szCs w:val="22"/>
          <w:highlight w:val="none"/>
          <w:shd w:val="clear" w:color="auto" w:fill="FFFFFF"/>
          <w:lang w:eastAsia="zh-CN"/>
        </w:rPr>
        <w:t>决算</w:t>
      </w:r>
      <w:r>
        <w:rPr>
          <w:rStyle w:val="9"/>
          <w:rFonts w:hint="eastAsia" w:ascii="宋体" w:hAnsi="宋体" w:eastAsia="宋体" w:cs="宋体"/>
          <w:color w:val="333333"/>
          <w:kern w:val="0"/>
          <w:sz w:val="24"/>
          <w:szCs w:val="22"/>
          <w:highlight w:val="none"/>
          <w:shd w:val="clear" w:color="auto" w:fill="FFFFFF"/>
        </w:rPr>
        <w:t>表</w:t>
      </w:r>
    </w:p>
    <w:p w14:paraId="22861EE8">
      <w:pPr>
        <w:keepNext w:val="0"/>
        <w:keepLines w:val="0"/>
        <w:pageBreakBefore w:val="0"/>
        <w:widowControl/>
        <w:kinsoku/>
        <w:overflowPunct/>
        <w:topLinePunct w:val="0"/>
        <w:autoSpaceDE/>
        <w:autoSpaceDN/>
        <w:bidi w:val="0"/>
        <w:adjustRightInd/>
        <w:spacing w:before="40"/>
        <w:jc w:val="left"/>
        <w:textAlignment w:val="auto"/>
        <w:rPr>
          <w:rFonts w:hint="eastAsia" w:ascii="宋体" w:hAnsi="宋体" w:eastAsia="宋体" w:cs="宋体"/>
          <w:b/>
          <w:bCs/>
          <w:color w:val="333333"/>
          <w:kern w:val="0"/>
          <w:sz w:val="24"/>
          <w:shd w:val="clear" w:color="auto" w:fill="FFFFFF"/>
        </w:rPr>
      </w:pPr>
      <w:r>
        <w:rPr>
          <w:rFonts w:hint="eastAsia" w:ascii="宋体" w:hAnsi="宋体" w:eastAsia="宋体" w:cs="宋体"/>
        </w:rPr>
        <w:drawing>
          <wp:inline distT="0" distB="0" distL="114300" distR="114300">
            <wp:extent cx="7463155" cy="2621915"/>
            <wp:effectExtent l="0" t="0" r="4445"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7463155" cy="2621915"/>
                    </a:xfrm>
                    <a:prstGeom prst="rect">
                      <a:avLst/>
                    </a:prstGeom>
                    <a:noFill/>
                    <a:ln>
                      <a:noFill/>
                    </a:ln>
                  </pic:spPr>
                </pic:pic>
              </a:graphicData>
            </a:graphic>
          </wp:inline>
        </w:drawing>
      </w:r>
    </w:p>
    <w:p w14:paraId="2E87A201">
      <w:pPr>
        <w:keepNext w:val="0"/>
        <w:keepLines w:val="0"/>
        <w:pageBreakBefore w:val="0"/>
        <w:widowControl/>
        <w:kinsoku/>
        <w:overflowPunct/>
        <w:topLinePunct w:val="0"/>
        <w:autoSpaceDE/>
        <w:autoSpaceDN/>
        <w:bidi w:val="0"/>
        <w:adjustRightInd/>
        <w:spacing w:before="40"/>
        <w:jc w:val="left"/>
        <w:textAlignment w:val="auto"/>
        <w:rPr>
          <w:rFonts w:hint="eastAsia" w:ascii="宋体" w:hAnsi="宋体" w:eastAsia="宋体" w:cs="宋体"/>
          <w:b/>
          <w:bCs/>
          <w:color w:val="333333"/>
          <w:kern w:val="0"/>
          <w:sz w:val="24"/>
          <w:shd w:val="clear" w:color="auto" w:fill="FFFFFF"/>
        </w:rPr>
      </w:pPr>
    </w:p>
    <w:p w14:paraId="5480A9D2">
      <w:pPr>
        <w:keepNext w:val="0"/>
        <w:keepLines w:val="0"/>
        <w:pageBreakBefore w:val="0"/>
        <w:widowControl/>
        <w:shd w:val="clear" w:color="auto" w:fill="FFFFFF"/>
        <w:kinsoku/>
        <w:overflowPunct/>
        <w:topLinePunct w:val="0"/>
        <w:autoSpaceDE/>
        <w:autoSpaceDN/>
        <w:bidi w:val="0"/>
        <w:adjustRightInd/>
        <w:spacing w:before="40" w:line="450" w:lineRule="atLeast"/>
        <w:textAlignment w:val="auto"/>
        <w:rPr>
          <w:rFonts w:hint="eastAsia" w:ascii="宋体" w:hAnsi="宋体" w:eastAsia="宋体" w:cs="宋体"/>
          <w:b/>
          <w:bCs/>
          <w:color w:val="333333"/>
          <w:kern w:val="0"/>
          <w:sz w:val="24"/>
          <w:shd w:val="clear" w:color="auto" w:fill="FFFFFF"/>
        </w:rPr>
      </w:pPr>
      <w:r>
        <w:rPr>
          <w:rFonts w:hint="eastAsia" w:ascii="宋体" w:hAnsi="宋体" w:eastAsia="宋体" w:cs="宋体"/>
        </w:rPr>
        <w:drawing>
          <wp:inline distT="0" distB="0" distL="114300" distR="114300">
            <wp:extent cx="7615555" cy="1770380"/>
            <wp:effectExtent l="0" t="0" r="4445" b="127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7615555" cy="1770380"/>
                    </a:xfrm>
                    <a:prstGeom prst="rect">
                      <a:avLst/>
                    </a:prstGeom>
                    <a:noFill/>
                    <a:ln>
                      <a:noFill/>
                    </a:ln>
                  </pic:spPr>
                </pic:pic>
              </a:graphicData>
            </a:graphic>
          </wp:inline>
        </w:drawing>
      </w:r>
    </w:p>
    <w:p w14:paraId="5F015806">
      <w:pPr>
        <w:keepNext w:val="0"/>
        <w:keepLines w:val="0"/>
        <w:pageBreakBefore w:val="0"/>
        <w:widowControl/>
        <w:shd w:val="clear" w:color="auto" w:fill="FFFFFF"/>
        <w:kinsoku/>
        <w:overflowPunct/>
        <w:topLinePunct w:val="0"/>
        <w:autoSpaceDE/>
        <w:autoSpaceDN/>
        <w:bidi w:val="0"/>
        <w:adjustRightInd/>
        <w:spacing w:before="40" w:line="450" w:lineRule="atLeast"/>
        <w:textAlignment w:val="auto"/>
        <w:rPr>
          <w:rFonts w:hint="eastAsia" w:ascii="宋体" w:hAnsi="宋体" w:eastAsia="宋体" w:cs="宋体"/>
          <w:b/>
          <w:bCs/>
          <w:color w:val="333333"/>
          <w:kern w:val="0"/>
          <w:sz w:val="24"/>
          <w:shd w:val="clear" w:color="auto" w:fill="FFFFFF"/>
        </w:rPr>
      </w:pPr>
      <w:r>
        <w:rPr>
          <w:rFonts w:hint="eastAsia" w:ascii="宋体" w:hAnsi="宋体" w:eastAsia="宋体" w:cs="宋体"/>
        </w:rPr>
        <w:drawing>
          <wp:inline distT="0" distB="0" distL="114300" distR="114300">
            <wp:extent cx="8317865" cy="2054860"/>
            <wp:effectExtent l="0" t="0" r="6985" b="254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8317865" cy="2054860"/>
                    </a:xfrm>
                    <a:prstGeom prst="rect">
                      <a:avLst/>
                    </a:prstGeom>
                    <a:noFill/>
                    <a:ln>
                      <a:noFill/>
                    </a:ln>
                  </pic:spPr>
                </pic:pic>
              </a:graphicData>
            </a:graphic>
          </wp:inline>
        </w:drawing>
      </w:r>
    </w:p>
    <w:p w14:paraId="12EA05DF">
      <w:pPr>
        <w:keepNext w:val="0"/>
        <w:keepLines w:val="0"/>
        <w:pageBreakBefore w:val="0"/>
        <w:widowControl/>
        <w:shd w:val="clear" w:color="auto" w:fill="FFFFFF"/>
        <w:kinsoku/>
        <w:overflowPunct/>
        <w:topLinePunct w:val="0"/>
        <w:autoSpaceDE/>
        <w:autoSpaceDN/>
        <w:bidi w:val="0"/>
        <w:adjustRightInd/>
        <w:spacing w:before="40" w:line="450" w:lineRule="atLeast"/>
        <w:textAlignment w:val="auto"/>
        <w:rPr>
          <w:rFonts w:hint="eastAsia" w:ascii="宋体" w:hAnsi="宋体" w:eastAsia="宋体" w:cs="宋体"/>
          <w:b/>
          <w:bCs/>
          <w:color w:val="333333"/>
          <w:kern w:val="0"/>
          <w:sz w:val="24"/>
          <w:shd w:val="clear" w:color="auto" w:fill="FFFFFF"/>
        </w:rPr>
      </w:pPr>
    </w:p>
    <w:p w14:paraId="39C82AFF">
      <w:pPr>
        <w:keepNext w:val="0"/>
        <w:keepLines w:val="0"/>
        <w:pageBreakBefore w:val="0"/>
        <w:widowControl/>
        <w:shd w:val="clear" w:color="auto" w:fill="FFFFFF"/>
        <w:kinsoku/>
        <w:overflowPunct/>
        <w:topLinePunct w:val="0"/>
        <w:autoSpaceDE/>
        <w:autoSpaceDN/>
        <w:bidi w:val="0"/>
        <w:adjustRightInd/>
        <w:spacing w:before="40" w:line="450" w:lineRule="atLeast"/>
        <w:textAlignment w:val="auto"/>
        <w:rPr>
          <w:rFonts w:hint="eastAsia" w:ascii="宋体" w:hAnsi="宋体" w:eastAsia="宋体" w:cs="宋体"/>
          <w:b/>
          <w:bCs/>
          <w:color w:val="333333"/>
          <w:kern w:val="0"/>
          <w:sz w:val="24"/>
          <w:shd w:val="clear" w:color="auto" w:fill="FFFFFF"/>
        </w:rPr>
      </w:pPr>
    </w:p>
    <w:p w14:paraId="1F7FC23D">
      <w:pPr>
        <w:keepNext w:val="0"/>
        <w:keepLines w:val="0"/>
        <w:pageBreakBefore w:val="0"/>
        <w:widowControl/>
        <w:shd w:val="clear" w:color="auto" w:fill="FFFFFF"/>
        <w:kinsoku/>
        <w:overflowPunct/>
        <w:topLinePunct w:val="0"/>
        <w:autoSpaceDE/>
        <w:autoSpaceDN/>
        <w:bidi w:val="0"/>
        <w:adjustRightInd/>
        <w:spacing w:before="40" w:line="450" w:lineRule="atLeast"/>
        <w:textAlignment w:val="auto"/>
        <w:rPr>
          <w:rFonts w:hint="eastAsia" w:ascii="宋体" w:hAnsi="宋体" w:eastAsia="宋体" w:cs="宋体"/>
          <w:b/>
          <w:bCs/>
          <w:color w:val="333333"/>
          <w:kern w:val="0"/>
          <w:sz w:val="24"/>
          <w:shd w:val="clear" w:color="auto" w:fill="FFFFFF"/>
        </w:rPr>
      </w:pPr>
      <w:r>
        <w:rPr>
          <w:rFonts w:hint="eastAsia" w:ascii="宋体" w:hAnsi="宋体" w:eastAsia="宋体" w:cs="宋体"/>
        </w:rPr>
        <w:drawing>
          <wp:inline distT="0" distB="0" distL="114300" distR="114300">
            <wp:extent cx="8137525" cy="5288280"/>
            <wp:effectExtent l="0" t="0" r="15875" b="762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a:stretch>
                      <a:fillRect/>
                    </a:stretch>
                  </pic:blipFill>
                  <pic:spPr>
                    <a:xfrm>
                      <a:off x="0" y="0"/>
                      <a:ext cx="8137525" cy="5288280"/>
                    </a:xfrm>
                    <a:prstGeom prst="rect">
                      <a:avLst/>
                    </a:prstGeom>
                    <a:noFill/>
                    <a:ln>
                      <a:noFill/>
                    </a:ln>
                  </pic:spPr>
                </pic:pic>
              </a:graphicData>
            </a:graphic>
          </wp:inline>
        </w:drawing>
      </w:r>
    </w:p>
    <w:p w14:paraId="7CCC2828">
      <w:pPr>
        <w:keepNext w:val="0"/>
        <w:keepLines w:val="0"/>
        <w:pageBreakBefore w:val="0"/>
        <w:widowControl/>
        <w:shd w:val="clear" w:color="auto" w:fill="FFFFFF"/>
        <w:kinsoku/>
        <w:overflowPunct/>
        <w:topLinePunct w:val="0"/>
        <w:autoSpaceDE/>
        <w:autoSpaceDN/>
        <w:bidi w:val="0"/>
        <w:adjustRightInd/>
        <w:spacing w:before="40" w:line="450" w:lineRule="atLeast"/>
        <w:textAlignment w:val="auto"/>
        <w:rPr>
          <w:rFonts w:hint="eastAsia" w:ascii="宋体" w:hAnsi="宋体" w:eastAsia="宋体" w:cs="宋体"/>
          <w:b/>
          <w:bCs/>
          <w:color w:val="333333"/>
          <w:kern w:val="0"/>
          <w:sz w:val="24"/>
          <w:shd w:val="clear" w:color="auto" w:fill="FFFFFF"/>
        </w:rPr>
      </w:pPr>
    </w:p>
    <w:p w14:paraId="0B882FCC">
      <w:pPr>
        <w:keepNext w:val="0"/>
        <w:keepLines w:val="0"/>
        <w:pageBreakBefore w:val="0"/>
        <w:widowControl/>
        <w:shd w:val="clear" w:color="auto" w:fill="FFFFFF"/>
        <w:kinsoku/>
        <w:overflowPunct/>
        <w:topLinePunct w:val="0"/>
        <w:autoSpaceDE/>
        <w:autoSpaceDN/>
        <w:bidi w:val="0"/>
        <w:adjustRightInd/>
        <w:spacing w:before="40" w:line="450" w:lineRule="atLeast"/>
        <w:textAlignment w:val="auto"/>
        <w:rPr>
          <w:rFonts w:hint="eastAsia" w:ascii="宋体" w:hAnsi="宋体" w:eastAsia="宋体" w:cs="宋体"/>
          <w:b/>
          <w:bCs/>
          <w:color w:val="333333"/>
          <w:kern w:val="0"/>
          <w:sz w:val="24"/>
          <w:shd w:val="clear" w:color="auto" w:fill="FFFFFF"/>
        </w:rPr>
      </w:pPr>
      <w:r>
        <w:rPr>
          <w:rFonts w:hint="eastAsia" w:ascii="宋体" w:hAnsi="宋体" w:eastAsia="宋体" w:cs="宋体"/>
        </w:rPr>
        <w:drawing>
          <wp:inline distT="0" distB="0" distL="114300" distR="114300">
            <wp:extent cx="8157845" cy="2679700"/>
            <wp:effectExtent l="0" t="0" r="14605" b="635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9"/>
                    <a:stretch>
                      <a:fillRect/>
                    </a:stretch>
                  </pic:blipFill>
                  <pic:spPr>
                    <a:xfrm>
                      <a:off x="0" y="0"/>
                      <a:ext cx="8157845" cy="2679700"/>
                    </a:xfrm>
                    <a:prstGeom prst="rect">
                      <a:avLst/>
                    </a:prstGeom>
                    <a:noFill/>
                    <a:ln>
                      <a:noFill/>
                    </a:ln>
                  </pic:spPr>
                </pic:pic>
              </a:graphicData>
            </a:graphic>
          </wp:inline>
        </w:drawing>
      </w:r>
    </w:p>
    <w:p w14:paraId="0B2393A9">
      <w:pPr>
        <w:keepNext w:val="0"/>
        <w:keepLines w:val="0"/>
        <w:pageBreakBefore w:val="0"/>
        <w:widowControl/>
        <w:shd w:val="clear" w:color="auto" w:fill="FFFFFF"/>
        <w:kinsoku/>
        <w:overflowPunct/>
        <w:topLinePunct w:val="0"/>
        <w:autoSpaceDE/>
        <w:autoSpaceDN/>
        <w:bidi w:val="0"/>
        <w:adjustRightInd/>
        <w:spacing w:before="40" w:line="450" w:lineRule="atLeast"/>
        <w:textAlignment w:val="auto"/>
        <w:rPr>
          <w:rFonts w:hint="eastAsia" w:ascii="宋体" w:hAnsi="宋体" w:eastAsia="宋体" w:cs="宋体"/>
        </w:rPr>
      </w:pPr>
      <w:r>
        <w:rPr>
          <w:rFonts w:hint="eastAsia" w:ascii="宋体" w:hAnsi="宋体" w:eastAsia="宋体" w:cs="宋体"/>
        </w:rPr>
        <w:drawing>
          <wp:inline distT="0" distB="0" distL="114300" distR="114300">
            <wp:extent cx="8634095" cy="4258310"/>
            <wp:effectExtent l="0" t="0" r="14605" b="889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0"/>
                    <a:stretch>
                      <a:fillRect/>
                    </a:stretch>
                  </pic:blipFill>
                  <pic:spPr>
                    <a:xfrm>
                      <a:off x="0" y="0"/>
                      <a:ext cx="8634095" cy="4258310"/>
                    </a:xfrm>
                    <a:prstGeom prst="rect">
                      <a:avLst/>
                    </a:prstGeom>
                    <a:noFill/>
                    <a:ln>
                      <a:noFill/>
                    </a:ln>
                  </pic:spPr>
                </pic:pic>
              </a:graphicData>
            </a:graphic>
          </wp:inline>
        </w:drawing>
      </w:r>
    </w:p>
    <w:p w14:paraId="4F62C8FD">
      <w:pPr>
        <w:keepNext w:val="0"/>
        <w:keepLines w:val="0"/>
        <w:pageBreakBefore w:val="0"/>
        <w:widowControl/>
        <w:shd w:val="clear" w:color="auto" w:fill="FFFFFF"/>
        <w:kinsoku/>
        <w:overflowPunct/>
        <w:topLinePunct w:val="0"/>
        <w:autoSpaceDE/>
        <w:autoSpaceDN/>
        <w:bidi w:val="0"/>
        <w:adjustRightInd/>
        <w:spacing w:before="40" w:line="450" w:lineRule="atLeast"/>
        <w:textAlignment w:val="auto"/>
        <w:rPr>
          <w:rFonts w:hint="eastAsia" w:ascii="宋体" w:hAnsi="宋体" w:eastAsia="宋体" w:cs="宋体"/>
        </w:rPr>
      </w:pPr>
    </w:p>
    <w:p w14:paraId="5B03E706">
      <w:pPr>
        <w:keepNext w:val="0"/>
        <w:keepLines w:val="0"/>
        <w:pageBreakBefore w:val="0"/>
        <w:widowControl/>
        <w:shd w:val="clear" w:color="auto" w:fill="FFFFFF"/>
        <w:kinsoku/>
        <w:overflowPunct/>
        <w:topLinePunct w:val="0"/>
        <w:autoSpaceDE/>
        <w:autoSpaceDN/>
        <w:bidi w:val="0"/>
        <w:adjustRightInd/>
        <w:spacing w:before="40" w:line="450" w:lineRule="atLeast"/>
        <w:textAlignment w:val="auto"/>
        <w:rPr>
          <w:rFonts w:hint="eastAsia" w:ascii="宋体" w:hAnsi="宋体" w:eastAsia="宋体" w:cs="宋体"/>
        </w:rPr>
      </w:pPr>
    </w:p>
    <w:tbl>
      <w:tblPr>
        <w:tblStyle w:val="7"/>
        <w:tblpPr w:leftFromText="180" w:rightFromText="180" w:vertAnchor="text" w:horzAnchor="page" w:tblpX="1403" w:tblpY="376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65"/>
        <w:gridCol w:w="222"/>
        <w:gridCol w:w="222"/>
        <w:gridCol w:w="1016"/>
        <w:gridCol w:w="1616"/>
        <w:gridCol w:w="1016"/>
        <w:gridCol w:w="616"/>
        <w:gridCol w:w="1016"/>
        <w:gridCol w:w="1016"/>
        <w:gridCol w:w="1756"/>
      </w:tblGrid>
      <w:tr w14:paraId="0AD1A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061" w:type="dxa"/>
            <w:gridSpan w:val="10"/>
            <w:tcBorders>
              <w:top w:val="nil"/>
              <w:left w:val="nil"/>
              <w:bottom w:val="nil"/>
              <w:right w:val="nil"/>
            </w:tcBorders>
            <w:shd w:val="clear" w:color="auto" w:fill="FFFFFF"/>
            <w:noWrap/>
            <w:vAlign w:val="center"/>
          </w:tcPr>
          <w:p w14:paraId="20B0273A">
            <w:pPr>
              <w:ind w:left="-840" w:leftChars="-400" w:firstLine="0" w:firstLineChars="0"/>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政府性基金预算财政拨款收入支出决算表</w:t>
            </w:r>
          </w:p>
        </w:tc>
      </w:tr>
      <w:tr w14:paraId="4430B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65" w:type="dxa"/>
            <w:tcBorders>
              <w:top w:val="nil"/>
              <w:left w:val="nil"/>
              <w:bottom w:val="nil"/>
              <w:right w:val="nil"/>
            </w:tcBorders>
            <w:shd w:val="clear" w:color="auto" w:fill="FFFFFF"/>
            <w:noWrap/>
            <w:vAlign w:val="center"/>
          </w:tcPr>
          <w:p w14:paraId="46650DEC">
            <w:pPr>
              <w:jc w:val="left"/>
              <w:rPr>
                <w:rFonts w:hint="eastAsia" w:ascii="宋体" w:hAnsi="宋体" w:eastAsia="宋体" w:cs="宋体"/>
                <w:i w:val="0"/>
                <w:iCs w:val="0"/>
                <w:color w:val="000000"/>
                <w:sz w:val="18"/>
                <w:szCs w:val="18"/>
                <w:u w:val="none"/>
              </w:rPr>
            </w:pPr>
          </w:p>
        </w:tc>
        <w:tc>
          <w:tcPr>
            <w:tcW w:w="222" w:type="dxa"/>
            <w:tcBorders>
              <w:top w:val="nil"/>
              <w:left w:val="nil"/>
              <w:bottom w:val="nil"/>
              <w:right w:val="nil"/>
            </w:tcBorders>
            <w:shd w:val="clear" w:color="auto" w:fill="FFFFFF"/>
            <w:noWrap/>
            <w:vAlign w:val="center"/>
          </w:tcPr>
          <w:p w14:paraId="4730F03E">
            <w:pPr>
              <w:jc w:val="left"/>
              <w:rPr>
                <w:rFonts w:hint="eastAsia" w:ascii="宋体" w:hAnsi="宋体" w:eastAsia="宋体" w:cs="宋体"/>
                <w:i w:val="0"/>
                <w:iCs w:val="0"/>
                <w:color w:val="000000"/>
                <w:sz w:val="18"/>
                <w:szCs w:val="18"/>
                <w:u w:val="none"/>
              </w:rPr>
            </w:pPr>
          </w:p>
        </w:tc>
        <w:tc>
          <w:tcPr>
            <w:tcW w:w="222" w:type="dxa"/>
            <w:tcBorders>
              <w:top w:val="nil"/>
              <w:left w:val="nil"/>
              <w:bottom w:val="nil"/>
              <w:right w:val="nil"/>
            </w:tcBorders>
            <w:shd w:val="clear" w:color="auto" w:fill="FFFFFF"/>
            <w:noWrap/>
            <w:vAlign w:val="center"/>
          </w:tcPr>
          <w:p w14:paraId="0FB60B6F">
            <w:pPr>
              <w:jc w:val="left"/>
              <w:rPr>
                <w:rFonts w:hint="eastAsia" w:ascii="宋体" w:hAnsi="宋体" w:eastAsia="宋体" w:cs="宋体"/>
                <w:i w:val="0"/>
                <w:iCs w:val="0"/>
                <w:color w:val="000000"/>
                <w:sz w:val="18"/>
                <w:szCs w:val="18"/>
                <w:u w:val="none"/>
              </w:rPr>
            </w:pPr>
          </w:p>
        </w:tc>
        <w:tc>
          <w:tcPr>
            <w:tcW w:w="1016" w:type="dxa"/>
            <w:tcBorders>
              <w:top w:val="nil"/>
              <w:left w:val="nil"/>
              <w:bottom w:val="nil"/>
              <w:right w:val="nil"/>
            </w:tcBorders>
            <w:shd w:val="clear" w:color="auto" w:fill="FFFFFF"/>
            <w:noWrap/>
            <w:vAlign w:val="center"/>
          </w:tcPr>
          <w:p w14:paraId="6F22B929">
            <w:pPr>
              <w:jc w:val="left"/>
              <w:rPr>
                <w:rFonts w:hint="eastAsia" w:ascii="宋体" w:hAnsi="宋体" w:eastAsia="宋体" w:cs="宋体"/>
                <w:i w:val="0"/>
                <w:iCs w:val="0"/>
                <w:color w:val="000000"/>
                <w:sz w:val="18"/>
                <w:szCs w:val="18"/>
                <w:u w:val="none"/>
              </w:rPr>
            </w:pPr>
          </w:p>
        </w:tc>
        <w:tc>
          <w:tcPr>
            <w:tcW w:w="1616" w:type="dxa"/>
            <w:tcBorders>
              <w:top w:val="nil"/>
              <w:left w:val="nil"/>
              <w:bottom w:val="nil"/>
              <w:right w:val="nil"/>
            </w:tcBorders>
            <w:shd w:val="clear" w:color="auto" w:fill="FFFFFF"/>
            <w:noWrap/>
            <w:vAlign w:val="center"/>
          </w:tcPr>
          <w:p w14:paraId="6359B7C6">
            <w:pPr>
              <w:jc w:val="left"/>
              <w:rPr>
                <w:rFonts w:hint="eastAsia" w:ascii="宋体" w:hAnsi="宋体" w:eastAsia="宋体" w:cs="宋体"/>
                <w:i w:val="0"/>
                <w:iCs w:val="0"/>
                <w:color w:val="000000"/>
                <w:sz w:val="18"/>
                <w:szCs w:val="18"/>
                <w:u w:val="none"/>
              </w:rPr>
            </w:pPr>
          </w:p>
        </w:tc>
        <w:tc>
          <w:tcPr>
            <w:tcW w:w="1016" w:type="dxa"/>
            <w:tcBorders>
              <w:top w:val="nil"/>
              <w:left w:val="nil"/>
              <w:bottom w:val="nil"/>
              <w:right w:val="nil"/>
            </w:tcBorders>
            <w:shd w:val="clear" w:color="auto" w:fill="FFFFFF"/>
            <w:noWrap/>
            <w:vAlign w:val="center"/>
          </w:tcPr>
          <w:p w14:paraId="3083444A">
            <w:pPr>
              <w:jc w:val="left"/>
              <w:rPr>
                <w:rFonts w:hint="eastAsia" w:ascii="宋体" w:hAnsi="宋体" w:eastAsia="宋体" w:cs="宋体"/>
                <w:i w:val="0"/>
                <w:iCs w:val="0"/>
                <w:color w:val="000000"/>
                <w:sz w:val="18"/>
                <w:szCs w:val="18"/>
                <w:u w:val="none"/>
              </w:rPr>
            </w:pPr>
          </w:p>
        </w:tc>
        <w:tc>
          <w:tcPr>
            <w:tcW w:w="616" w:type="dxa"/>
            <w:tcBorders>
              <w:top w:val="nil"/>
              <w:left w:val="nil"/>
              <w:bottom w:val="nil"/>
              <w:right w:val="nil"/>
            </w:tcBorders>
            <w:shd w:val="clear" w:color="auto" w:fill="FFFFFF"/>
            <w:noWrap/>
            <w:vAlign w:val="center"/>
          </w:tcPr>
          <w:p w14:paraId="0227EEF0">
            <w:pPr>
              <w:jc w:val="left"/>
              <w:rPr>
                <w:rFonts w:hint="eastAsia" w:ascii="宋体" w:hAnsi="宋体" w:eastAsia="宋体" w:cs="宋体"/>
                <w:i w:val="0"/>
                <w:iCs w:val="0"/>
                <w:color w:val="000000"/>
                <w:sz w:val="18"/>
                <w:szCs w:val="18"/>
                <w:u w:val="none"/>
              </w:rPr>
            </w:pPr>
          </w:p>
        </w:tc>
        <w:tc>
          <w:tcPr>
            <w:tcW w:w="1016" w:type="dxa"/>
            <w:tcBorders>
              <w:top w:val="nil"/>
              <w:left w:val="nil"/>
              <w:bottom w:val="nil"/>
              <w:right w:val="nil"/>
            </w:tcBorders>
            <w:shd w:val="clear" w:color="auto" w:fill="FFFFFF"/>
            <w:noWrap/>
            <w:vAlign w:val="center"/>
          </w:tcPr>
          <w:p w14:paraId="137EB35C">
            <w:pPr>
              <w:jc w:val="left"/>
              <w:rPr>
                <w:rFonts w:hint="eastAsia" w:ascii="宋体" w:hAnsi="宋体" w:eastAsia="宋体" w:cs="宋体"/>
                <w:i w:val="0"/>
                <w:iCs w:val="0"/>
                <w:color w:val="000000"/>
                <w:sz w:val="18"/>
                <w:szCs w:val="18"/>
                <w:u w:val="none"/>
              </w:rPr>
            </w:pPr>
          </w:p>
        </w:tc>
        <w:tc>
          <w:tcPr>
            <w:tcW w:w="1016" w:type="dxa"/>
            <w:tcBorders>
              <w:top w:val="nil"/>
              <w:left w:val="nil"/>
              <w:bottom w:val="nil"/>
              <w:right w:val="nil"/>
            </w:tcBorders>
            <w:shd w:val="clear" w:color="auto" w:fill="FFFFFF"/>
            <w:noWrap/>
            <w:vAlign w:val="center"/>
          </w:tcPr>
          <w:p w14:paraId="1189AF32">
            <w:pPr>
              <w:jc w:val="left"/>
              <w:rPr>
                <w:rFonts w:hint="eastAsia" w:ascii="宋体" w:hAnsi="宋体" w:eastAsia="宋体" w:cs="宋体"/>
                <w:i w:val="0"/>
                <w:iCs w:val="0"/>
                <w:color w:val="000000"/>
                <w:sz w:val="18"/>
                <w:szCs w:val="18"/>
                <w:u w:val="none"/>
              </w:rPr>
            </w:pPr>
          </w:p>
        </w:tc>
        <w:tc>
          <w:tcPr>
            <w:tcW w:w="1756" w:type="dxa"/>
            <w:tcBorders>
              <w:top w:val="nil"/>
              <w:left w:val="nil"/>
              <w:bottom w:val="nil"/>
              <w:right w:val="nil"/>
            </w:tcBorders>
            <w:shd w:val="clear" w:color="auto" w:fill="FFFFFF"/>
            <w:noWrap/>
            <w:vAlign w:val="center"/>
          </w:tcPr>
          <w:p w14:paraId="520737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公开08表</w:t>
            </w:r>
          </w:p>
        </w:tc>
      </w:tr>
      <w:tr w14:paraId="0DE1E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65" w:type="dxa"/>
            <w:tcBorders>
              <w:top w:val="nil"/>
              <w:left w:val="nil"/>
              <w:bottom w:val="single" w:color="000000" w:sz="4" w:space="0"/>
              <w:right w:val="nil"/>
            </w:tcBorders>
            <w:shd w:val="clear" w:color="auto" w:fill="FFFFFF"/>
            <w:noWrap/>
            <w:vAlign w:val="center"/>
          </w:tcPr>
          <w:p w14:paraId="584955D3">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部门：黄石市黄石港区</w:t>
            </w:r>
            <w:r>
              <w:rPr>
                <w:rFonts w:hint="eastAsia" w:ascii="宋体" w:hAnsi="宋体" w:cs="宋体"/>
                <w:i w:val="0"/>
                <w:iCs w:val="0"/>
                <w:color w:val="000000"/>
                <w:kern w:val="0"/>
                <w:sz w:val="22"/>
                <w:szCs w:val="22"/>
                <w:u w:val="none"/>
                <w:lang w:val="en-US" w:eastAsia="zh-CN" w:bidi="ar"/>
              </w:rPr>
              <w:t>胜阳港街道办事处</w:t>
            </w:r>
          </w:p>
        </w:tc>
        <w:tc>
          <w:tcPr>
            <w:tcW w:w="222" w:type="dxa"/>
            <w:tcBorders>
              <w:top w:val="nil"/>
              <w:left w:val="nil"/>
              <w:bottom w:val="single" w:color="000000" w:sz="4" w:space="0"/>
              <w:right w:val="nil"/>
            </w:tcBorders>
            <w:shd w:val="clear" w:color="auto" w:fill="FFFFFF"/>
            <w:noWrap/>
            <w:vAlign w:val="center"/>
          </w:tcPr>
          <w:p w14:paraId="09EF3CC4">
            <w:pPr>
              <w:jc w:val="center"/>
              <w:rPr>
                <w:rFonts w:hint="eastAsia" w:ascii="宋体" w:hAnsi="宋体" w:eastAsia="宋体" w:cs="宋体"/>
                <w:i w:val="0"/>
                <w:iCs w:val="0"/>
                <w:color w:val="000000"/>
                <w:sz w:val="18"/>
                <w:szCs w:val="18"/>
                <w:u w:val="none"/>
              </w:rPr>
            </w:pPr>
          </w:p>
        </w:tc>
        <w:tc>
          <w:tcPr>
            <w:tcW w:w="222" w:type="dxa"/>
            <w:tcBorders>
              <w:top w:val="nil"/>
              <w:left w:val="nil"/>
              <w:bottom w:val="single" w:color="000000" w:sz="4" w:space="0"/>
              <w:right w:val="nil"/>
            </w:tcBorders>
            <w:shd w:val="clear" w:color="auto" w:fill="FFFFFF"/>
            <w:noWrap/>
            <w:vAlign w:val="center"/>
          </w:tcPr>
          <w:p w14:paraId="3221D94C">
            <w:pPr>
              <w:jc w:val="center"/>
              <w:rPr>
                <w:rFonts w:hint="eastAsia" w:ascii="宋体" w:hAnsi="宋体" w:eastAsia="宋体" w:cs="宋体"/>
                <w:i w:val="0"/>
                <w:iCs w:val="0"/>
                <w:color w:val="000000"/>
                <w:sz w:val="18"/>
                <w:szCs w:val="18"/>
                <w:u w:val="none"/>
              </w:rPr>
            </w:pPr>
          </w:p>
        </w:tc>
        <w:tc>
          <w:tcPr>
            <w:tcW w:w="1016" w:type="dxa"/>
            <w:tcBorders>
              <w:top w:val="nil"/>
              <w:left w:val="nil"/>
              <w:bottom w:val="single" w:color="000000" w:sz="4" w:space="0"/>
              <w:right w:val="nil"/>
            </w:tcBorders>
            <w:shd w:val="clear" w:color="auto" w:fill="FFFFFF"/>
            <w:noWrap/>
            <w:vAlign w:val="center"/>
          </w:tcPr>
          <w:p w14:paraId="74C1B36B">
            <w:pPr>
              <w:jc w:val="center"/>
              <w:rPr>
                <w:rFonts w:hint="eastAsia" w:ascii="宋体" w:hAnsi="宋体" w:eastAsia="宋体" w:cs="宋体"/>
                <w:i w:val="0"/>
                <w:iCs w:val="0"/>
                <w:color w:val="000000"/>
                <w:sz w:val="18"/>
                <w:szCs w:val="18"/>
                <w:u w:val="none"/>
              </w:rPr>
            </w:pPr>
          </w:p>
        </w:tc>
        <w:tc>
          <w:tcPr>
            <w:tcW w:w="1616" w:type="dxa"/>
            <w:tcBorders>
              <w:top w:val="nil"/>
              <w:left w:val="nil"/>
              <w:bottom w:val="single" w:color="000000" w:sz="4" w:space="0"/>
              <w:right w:val="nil"/>
            </w:tcBorders>
            <w:shd w:val="clear" w:color="auto" w:fill="FFFFFF"/>
            <w:noWrap/>
            <w:vAlign w:val="center"/>
          </w:tcPr>
          <w:p w14:paraId="7F07D1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1016" w:type="dxa"/>
            <w:tcBorders>
              <w:top w:val="nil"/>
              <w:left w:val="nil"/>
              <w:bottom w:val="single" w:color="000000" w:sz="4" w:space="0"/>
              <w:right w:val="nil"/>
            </w:tcBorders>
            <w:shd w:val="clear" w:color="auto" w:fill="FFFFFF"/>
            <w:noWrap/>
            <w:vAlign w:val="center"/>
          </w:tcPr>
          <w:p w14:paraId="61A9B47B">
            <w:pPr>
              <w:jc w:val="center"/>
              <w:rPr>
                <w:rFonts w:hint="eastAsia" w:ascii="宋体" w:hAnsi="宋体" w:eastAsia="宋体" w:cs="宋体"/>
                <w:i w:val="0"/>
                <w:iCs w:val="0"/>
                <w:color w:val="000000"/>
                <w:sz w:val="18"/>
                <w:szCs w:val="18"/>
                <w:u w:val="none"/>
              </w:rPr>
            </w:pPr>
          </w:p>
        </w:tc>
        <w:tc>
          <w:tcPr>
            <w:tcW w:w="616" w:type="dxa"/>
            <w:tcBorders>
              <w:top w:val="nil"/>
              <w:left w:val="nil"/>
              <w:bottom w:val="single" w:color="000000" w:sz="4" w:space="0"/>
              <w:right w:val="nil"/>
            </w:tcBorders>
            <w:shd w:val="clear" w:color="auto" w:fill="FFFFFF"/>
            <w:noWrap/>
            <w:vAlign w:val="center"/>
          </w:tcPr>
          <w:p w14:paraId="389761CF">
            <w:pPr>
              <w:jc w:val="center"/>
              <w:rPr>
                <w:rFonts w:hint="eastAsia" w:ascii="宋体" w:hAnsi="宋体" w:eastAsia="宋体" w:cs="宋体"/>
                <w:i w:val="0"/>
                <w:iCs w:val="0"/>
                <w:color w:val="000000"/>
                <w:sz w:val="18"/>
                <w:szCs w:val="18"/>
                <w:u w:val="none"/>
              </w:rPr>
            </w:pPr>
          </w:p>
        </w:tc>
        <w:tc>
          <w:tcPr>
            <w:tcW w:w="1016" w:type="dxa"/>
            <w:tcBorders>
              <w:top w:val="nil"/>
              <w:left w:val="nil"/>
              <w:bottom w:val="single" w:color="000000" w:sz="4" w:space="0"/>
              <w:right w:val="nil"/>
            </w:tcBorders>
            <w:shd w:val="clear" w:color="auto" w:fill="FFFFFF"/>
            <w:noWrap/>
            <w:vAlign w:val="center"/>
          </w:tcPr>
          <w:p w14:paraId="30B82A75">
            <w:pPr>
              <w:jc w:val="center"/>
              <w:rPr>
                <w:rFonts w:hint="eastAsia" w:ascii="宋体" w:hAnsi="宋体" w:eastAsia="宋体" w:cs="宋体"/>
                <w:i w:val="0"/>
                <w:iCs w:val="0"/>
                <w:color w:val="000000"/>
                <w:sz w:val="18"/>
                <w:szCs w:val="18"/>
                <w:u w:val="none"/>
              </w:rPr>
            </w:pPr>
          </w:p>
        </w:tc>
        <w:tc>
          <w:tcPr>
            <w:tcW w:w="1016" w:type="dxa"/>
            <w:tcBorders>
              <w:top w:val="nil"/>
              <w:left w:val="nil"/>
              <w:bottom w:val="single" w:color="000000" w:sz="4" w:space="0"/>
              <w:right w:val="nil"/>
            </w:tcBorders>
            <w:shd w:val="clear" w:color="auto" w:fill="FFFFFF"/>
            <w:noWrap/>
            <w:vAlign w:val="center"/>
          </w:tcPr>
          <w:p w14:paraId="6C6F6180">
            <w:pPr>
              <w:jc w:val="center"/>
              <w:rPr>
                <w:rFonts w:hint="eastAsia" w:ascii="宋体" w:hAnsi="宋体" w:eastAsia="宋体" w:cs="宋体"/>
                <w:i w:val="0"/>
                <w:iCs w:val="0"/>
                <w:color w:val="000000"/>
                <w:sz w:val="18"/>
                <w:szCs w:val="18"/>
                <w:u w:val="none"/>
              </w:rPr>
            </w:pPr>
          </w:p>
        </w:tc>
        <w:tc>
          <w:tcPr>
            <w:tcW w:w="1756" w:type="dxa"/>
            <w:tcBorders>
              <w:top w:val="nil"/>
              <w:left w:val="nil"/>
              <w:bottom w:val="single" w:color="000000" w:sz="4" w:space="0"/>
              <w:right w:val="nil"/>
            </w:tcBorders>
            <w:shd w:val="clear" w:color="auto" w:fill="FFFFFF"/>
            <w:noWrap/>
            <w:vAlign w:val="center"/>
          </w:tcPr>
          <w:p w14:paraId="1DD1A6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1C26A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25" w:type="dxa"/>
            <w:gridSpan w:val="4"/>
            <w:tcBorders>
              <w:top w:val="nil"/>
              <w:left w:val="single" w:color="000000" w:sz="4" w:space="0"/>
              <w:bottom w:val="single" w:color="000000" w:sz="4" w:space="0"/>
              <w:right w:val="single" w:color="000000" w:sz="4" w:space="0"/>
            </w:tcBorders>
            <w:shd w:val="clear" w:color="auto" w:fill="C0C0C0"/>
            <w:noWrap/>
            <w:vAlign w:val="center"/>
          </w:tcPr>
          <w:p w14:paraId="3711AAB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616" w:type="dxa"/>
            <w:vMerge w:val="restart"/>
            <w:tcBorders>
              <w:top w:val="nil"/>
              <w:left w:val="nil"/>
              <w:bottom w:val="single" w:color="000000" w:sz="4" w:space="0"/>
              <w:right w:val="single" w:color="000000" w:sz="4" w:space="0"/>
            </w:tcBorders>
            <w:shd w:val="clear" w:color="auto" w:fill="C0C0C0"/>
            <w:noWrap w:val="0"/>
            <w:vAlign w:val="center"/>
          </w:tcPr>
          <w:p w14:paraId="7F61E6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1016" w:type="dxa"/>
            <w:vMerge w:val="restart"/>
            <w:tcBorders>
              <w:top w:val="nil"/>
              <w:left w:val="nil"/>
              <w:bottom w:val="single" w:color="000000" w:sz="4" w:space="0"/>
              <w:right w:val="single" w:color="000000" w:sz="4" w:space="0"/>
            </w:tcBorders>
            <w:shd w:val="clear" w:color="auto" w:fill="C0C0C0"/>
            <w:noWrap w:val="0"/>
            <w:vAlign w:val="center"/>
          </w:tcPr>
          <w:p w14:paraId="02FBF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2648" w:type="dxa"/>
            <w:gridSpan w:val="3"/>
            <w:tcBorders>
              <w:top w:val="nil"/>
              <w:left w:val="nil"/>
              <w:bottom w:val="single" w:color="000000" w:sz="4" w:space="0"/>
              <w:right w:val="single" w:color="000000" w:sz="4" w:space="0"/>
            </w:tcBorders>
            <w:shd w:val="clear" w:color="auto" w:fill="C0C0C0"/>
            <w:noWrap w:val="0"/>
            <w:vAlign w:val="center"/>
          </w:tcPr>
          <w:p w14:paraId="0CCD9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c>
          <w:tcPr>
            <w:tcW w:w="1756" w:type="dxa"/>
            <w:vMerge w:val="restart"/>
            <w:tcBorders>
              <w:top w:val="nil"/>
              <w:left w:val="nil"/>
              <w:bottom w:val="single" w:color="000000" w:sz="4" w:space="0"/>
              <w:right w:val="single" w:color="000000" w:sz="4" w:space="0"/>
            </w:tcBorders>
            <w:shd w:val="clear" w:color="auto" w:fill="C0C0C0"/>
            <w:noWrap w:val="0"/>
            <w:vAlign w:val="center"/>
          </w:tcPr>
          <w:p w14:paraId="53C14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r>
      <w:tr w14:paraId="65672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9" w:type="dxa"/>
            <w:gridSpan w:val="3"/>
            <w:vMerge w:val="restart"/>
            <w:tcBorders>
              <w:top w:val="nil"/>
              <w:left w:val="single" w:color="000000" w:sz="4" w:space="0"/>
              <w:bottom w:val="single" w:color="000000" w:sz="4" w:space="0"/>
              <w:right w:val="single" w:color="000000" w:sz="4" w:space="0"/>
            </w:tcBorders>
            <w:shd w:val="clear" w:color="auto" w:fill="C0C0C0"/>
            <w:noWrap w:val="0"/>
            <w:vAlign w:val="center"/>
          </w:tcPr>
          <w:p w14:paraId="644D6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1016" w:type="dxa"/>
            <w:vMerge w:val="restart"/>
            <w:tcBorders>
              <w:top w:val="nil"/>
              <w:left w:val="nil"/>
              <w:bottom w:val="single" w:color="000000" w:sz="4" w:space="0"/>
              <w:right w:val="single" w:color="000000" w:sz="4" w:space="0"/>
            </w:tcBorders>
            <w:shd w:val="clear" w:color="auto" w:fill="C0C0C0"/>
            <w:noWrap/>
            <w:vAlign w:val="center"/>
          </w:tcPr>
          <w:p w14:paraId="5E054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616" w:type="dxa"/>
            <w:vMerge w:val="continue"/>
            <w:tcBorders>
              <w:top w:val="nil"/>
              <w:left w:val="nil"/>
              <w:bottom w:val="single" w:color="000000" w:sz="4" w:space="0"/>
              <w:right w:val="single" w:color="000000" w:sz="4" w:space="0"/>
            </w:tcBorders>
            <w:shd w:val="clear" w:color="auto" w:fill="C0C0C0"/>
            <w:noWrap w:val="0"/>
            <w:vAlign w:val="center"/>
          </w:tcPr>
          <w:p w14:paraId="1E5460AD">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4" w:space="0"/>
              <w:right w:val="single" w:color="000000" w:sz="4" w:space="0"/>
            </w:tcBorders>
            <w:shd w:val="clear" w:color="auto" w:fill="C0C0C0"/>
            <w:noWrap w:val="0"/>
            <w:vAlign w:val="center"/>
          </w:tcPr>
          <w:p w14:paraId="1709B948">
            <w:pPr>
              <w:jc w:val="center"/>
              <w:rPr>
                <w:rFonts w:hint="eastAsia" w:ascii="宋体" w:hAnsi="宋体" w:eastAsia="宋体" w:cs="宋体"/>
                <w:i w:val="0"/>
                <w:iCs w:val="0"/>
                <w:color w:val="000000"/>
                <w:sz w:val="20"/>
                <w:szCs w:val="20"/>
                <w:u w:val="none"/>
              </w:rPr>
            </w:pPr>
          </w:p>
        </w:tc>
        <w:tc>
          <w:tcPr>
            <w:tcW w:w="616" w:type="dxa"/>
            <w:vMerge w:val="restart"/>
            <w:tcBorders>
              <w:top w:val="nil"/>
              <w:left w:val="nil"/>
              <w:bottom w:val="single" w:color="000000" w:sz="4" w:space="0"/>
              <w:right w:val="single" w:color="000000" w:sz="4" w:space="0"/>
            </w:tcBorders>
            <w:shd w:val="clear" w:color="auto" w:fill="C0C0C0"/>
            <w:noWrap w:val="0"/>
            <w:vAlign w:val="center"/>
          </w:tcPr>
          <w:p w14:paraId="60E9B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016" w:type="dxa"/>
            <w:vMerge w:val="restart"/>
            <w:tcBorders>
              <w:top w:val="nil"/>
              <w:left w:val="nil"/>
              <w:bottom w:val="single" w:color="000000" w:sz="4" w:space="0"/>
              <w:right w:val="single" w:color="000000" w:sz="4" w:space="0"/>
            </w:tcBorders>
            <w:shd w:val="clear" w:color="auto" w:fill="C0C0C0"/>
            <w:noWrap w:val="0"/>
            <w:vAlign w:val="center"/>
          </w:tcPr>
          <w:p w14:paraId="660841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016" w:type="dxa"/>
            <w:vMerge w:val="restart"/>
            <w:tcBorders>
              <w:top w:val="nil"/>
              <w:left w:val="nil"/>
              <w:bottom w:val="single" w:color="000000" w:sz="4" w:space="0"/>
              <w:right w:val="single" w:color="000000" w:sz="4" w:space="0"/>
            </w:tcBorders>
            <w:shd w:val="clear" w:color="auto" w:fill="C0C0C0"/>
            <w:noWrap w:val="0"/>
            <w:vAlign w:val="center"/>
          </w:tcPr>
          <w:p w14:paraId="22BBB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1756" w:type="dxa"/>
            <w:vMerge w:val="continue"/>
            <w:tcBorders>
              <w:top w:val="nil"/>
              <w:left w:val="nil"/>
              <w:bottom w:val="single" w:color="000000" w:sz="4" w:space="0"/>
              <w:right w:val="single" w:color="000000" w:sz="4" w:space="0"/>
            </w:tcBorders>
            <w:shd w:val="clear" w:color="auto" w:fill="C0C0C0"/>
            <w:noWrap w:val="0"/>
            <w:vAlign w:val="center"/>
          </w:tcPr>
          <w:p w14:paraId="4DA85C3C">
            <w:pPr>
              <w:jc w:val="center"/>
              <w:rPr>
                <w:rFonts w:hint="eastAsia" w:ascii="宋体" w:hAnsi="宋体" w:eastAsia="宋体" w:cs="宋体"/>
                <w:i w:val="0"/>
                <w:iCs w:val="0"/>
                <w:color w:val="000000"/>
                <w:sz w:val="20"/>
                <w:szCs w:val="20"/>
                <w:u w:val="none"/>
              </w:rPr>
            </w:pPr>
          </w:p>
        </w:tc>
      </w:tr>
      <w:tr w14:paraId="6983A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9" w:type="dxa"/>
            <w:gridSpan w:val="3"/>
            <w:vMerge w:val="continue"/>
            <w:tcBorders>
              <w:top w:val="nil"/>
              <w:left w:val="single" w:color="000000" w:sz="4" w:space="0"/>
              <w:bottom w:val="single" w:color="000000" w:sz="4" w:space="0"/>
              <w:right w:val="single" w:color="000000" w:sz="4" w:space="0"/>
            </w:tcBorders>
            <w:shd w:val="clear" w:color="auto" w:fill="C0C0C0"/>
            <w:noWrap w:val="0"/>
            <w:vAlign w:val="center"/>
          </w:tcPr>
          <w:p w14:paraId="64A35BD4">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4" w:space="0"/>
              <w:right w:val="single" w:color="000000" w:sz="4" w:space="0"/>
            </w:tcBorders>
            <w:shd w:val="clear" w:color="auto" w:fill="C0C0C0"/>
            <w:noWrap/>
            <w:vAlign w:val="center"/>
          </w:tcPr>
          <w:p w14:paraId="094F8D1A">
            <w:pPr>
              <w:jc w:val="center"/>
              <w:rPr>
                <w:rFonts w:hint="eastAsia" w:ascii="宋体" w:hAnsi="宋体" w:eastAsia="宋体" w:cs="宋体"/>
                <w:i w:val="0"/>
                <w:iCs w:val="0"/>
                <w:color w:val="000000"/>
                <w:sz w:val="20"/>
                <w:szCs w:val="20"/>
                <w:u w:val="none"/>
              </w:rPr>
            </w:pPr>
          </w:p>
        </w:tc>
        <w:tc>
          <w:tcPr>
            <w:tcW w:w="1616" w:type="dxa"/>
            <w:vMerge w:val="continue"/>
            <w:tcBorders>
              <w:top w:val="nil"/>
              <w:left w:val="nil"/>
              <w:bottom w:val="single" w:color="000000" w:sz="4" w:space="0"/>
              <w:right w:val="single" w:color="000000" w:sz="4" w:space="0"/>
            </w:tcBorders>
            <w:shd w:val="clear" w:color="auto" w:fill="C0C0C0"/>
            <w:noWrap w:val="0"/>
            <w:vAlign w:val="center"/>
          </w:tcPr>
          <w:p w14:paraId="3AF3460C">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4" w:space="0"/>
              <w:right w:val="single" w:color="000000" w:sz="4" w:space="0"/>
            </w:tcBorders>
            <w:shd w:val="clear" w:color="auto" w:fill="C0C0C0"/>
            <w:noWrap w:val="0"/>
            <w:vAlign w:val="center"/>
          </w:tcPr>
          <w:p w14:paraId="4F9448AB">
            <w:pPr>
              <w:jc w:val="center"/>
              <w:rPr>
                <w:rFonts w:hint="eastAsia" w:ascii="宋体" w:hAnsi="宋体" w:eastAsia="宋体" w:cs="宋体"/>
                <w:i w:val="0"/>
                <w:iCs w:val="0"/>
                <w:color w:val="000000"/>
                <w:sz w:val="20"/>
                <w:szCs w:val="20"/>
                <w:u w:val="none"/>
              </w:rPr>
            </w:pPr>
          </w:p>
        </w:tc>
        <w:tc>
          <w:tcPr>
            <w:tcW w:w="616" w:type="dxa"/>
            <w:vMerge w:val="continue"/>
            <w:tcBorders>
              <w:top w:val="nil"/>
              <w:left w:val="nil"/>
              <w:bottom w:val="single" w:color="000000" w:sz="4" w:space="0"/>
              <w:right w:val="single" w:color="000000" w:sz="4" w:space="0"/>
            </w:tcBorders>
            <w:shd w:val="clear" w:color="auto" w:fill="C0C0C0"/>
            <w:noWrap w:val="0"/>
            <w:vAlign w:val="center"/>
          </w:tcPr>
          <w:p w14:paraId="50EA01EF">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4" w:space="0"/>
              <w:right w:val="single" w:color="000000" w:sz="4" w:space="0"/>
            </w:tcBorders>
            <w:shd w:val="clear" w:color="auto" w:fill="C0C0C0"/>
            <w:noWrap w:val="0"/>
            <w:vAlign w:val="center"/>
          </w:tcPr>
          <w:p w14:paraId="19B361B3">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4" w:space="0"/>
              <w:right w:val="single" w:color="000000" w:sz="4" w:space="0"/>
            </w:tcBorders>
            <w:shd w:val="clear" w:color="auto" w:fill="C0C0C0"/>
            <w:noWrap w:val="0"/>
            <w:vAlign w:val="center"/>
          </w:tcPr>
          <w:p w14:paraId="180165E8">
            <w:pPr>
              <w:jc w:val="center"/>
              <w:rPr>
                <w:rFonts w:hint="eastAsia" w:ascii="宋体" w:hAnsi="宋体" w:eastAsia="宋体" w:cs="宋体"/>
                <w:i w:val="0"/>
                <w:iCs w:val="0"/>
                <w:color w:val="000000"/>
                <w:sz w:val="20"/>
                <w:szCs w:val="20"/>
                <w:u w:val="none"/>
              </w:rPr>
            </w:pPr>
          </w:p>
        </w:tc>
        <w:tc>
          <w:tcPr>
            <w:tcW w:w="1756" w:type="dxa"/>
            <w:vMerge w:val="continue"/>
            <w:tcBorders>
              <w:top w:val="nil"/>
              <w:left w:val="nil"/>
              <w:bottom w:val="single" w:color="000000" w:sz="4" w:space="0"/>
              <w:right w:val="single" w:color="000000" w:sz="4" w:space="0"/>
            </w:tcBorders>
            <w:shd w:val="clear" w:color="auto" w:fill="C0C0C0"/>
            <w:noWrap w:val="0"/>
            <w:vAlign w:val="center"/>
          </w:tcPr>
          <w:p w14:paraId="102A8976">
            <w:pPr>
              <w:jc w:val="center"/>
              <w:rPr>
                <w:rFonts w:hint="eastAsia" w:ascii="宋体" w:hAnsi="宋体" w:eastAsia="宋体" w:cs="宋体"/>
                <w:i w:val="0"/>
                <w:iCs w:val="0"/>
                <w:color w:val="000000"/>
                <w:sz w:val="20"/>
                <w:szCs w:val="20"/>
                <w:u w:val="none"/>
              </w:rPr>
            </w:pPr>
          </w:p>
        </w:tc>
      </w:tr>
      <w:tr w14:paraId="0E697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9" w:type="dxa"/>
            <w:gridSpan w:val="3"/>
            <w:vMerge w:val="continue"/>
            <w:tcBorders>
              <w:top w:val="nil"/>
              <w:left w:val="single" w:color="000000" w:sz="4" w:space="0"/>
              <w:bottom w:val="single" w:color="000000" w:sz="4" w:space="0"/>
              <w:right w:val="single" w:color="000000" w:sz="4" w:space="0"/>
            </w:tcBorders>
            <w:shd w:val="clear" w:color="auto" w:fill="C0C0C0"/>
            <w:noWrap w:val="0"/>
            <w:vAlign w:val="center"/>
          </w:tcPr>
          <w:p w14:paraId="44599626">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4" w:space="0"/>
              <w:right w:val="single" w:color="000000" w:sz="4" w:space="0"/>
            </w:tcBorders>
            <w:shd w:val="clear" w:color="auto" w:fill="C0C0C0"/>
            <w:noWrap/>
            <w:vAlign w:val="center"/>
          </w:tcPr>
          <w:p w14:paraId="7F87A878">
            <w:pPr>
              <w:jc w:val="center"/>
              <w:rPr>
                <w:rFonts w:hint="eastAsia" w:ascii="宋体" w:hAnsi="宋体" w:eastAsia="宋体" w:cs="宋体"/>
                <w:i w:val="0"/>
                <w:iCs w:val="0"/>
                <w:color w:val="000000"/>
                <w:sz w:val="20"/>
                <w:szCs w:val="20"/>
                <w:u w:val="none"/>
              </w:rPr>
            </w:pPr>
          </w:p>
        </w:tc>
        <w:tc>
          <w:tcPr>
            <w:tcW w:w="1616" w:type="dxa"/>
            <w:vMerge w:val="continue"/>
            <w:tcBorders>
              <w:top w:val="nil"/>
              <w:left w:val="nil"/>
              <w:bottom w:val="single" w:color="000000" w:sz="4" w:space="0"/>
              <w:right w:val="single" w:color="000000" w:sz="4" w:space="0"/>
            </w:tcBorders>
            <w:shd w:val="clear" w:color="auto" w:fill="C0C0C0"/>
            <w:noWrap w:val="0"/>
            <w:vAlign w:val="center"/>
          </w:tcPr>
          <w:p w14:paraId="770FC582">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4" w:space="0"/>
              <w:right w:val="single" w:color="000000" w:sz="4" w:space="0"/>
            </w:tcBorders>
            <w:shd w:val="clear" w:color="auto" w:fill="C0C0C0"/>
            <w:noWrap w:val="0"/>
            <w:vAlign w:val="center"/>
          </w:tcPr>
          <w:p w14:paraId="2B07403D">
            <w:pPr>
              <w:jc w:val="center"/>
              <w:rPr>
                <w:rFonts w:hint="eastAsia" w:ascii="宋体" w:hAnsi="宋体" w:eastAsia="宋体" w:cs="宋体"/>
                <w:i w:val="0"/>
                <w:iCs w:val="0"/>
                <w:color w:val="000000"/>
                <w:sz w:val="20"/>
                <w:szCs w:val="20"/>
                <w:u w:val="none"/>
              </w:rPr>
            </w:pPr>
          </w:p>
        </w:tc>
        <w:tc>
          <w:tcPr>
            <w:tcW w:w="616" w:type="dxa"/>
            <w:vMerge w:val="continue"/>
            <w:tcBorders>
              <w:top w:val="nil"/>
              <w:left w:val="nil"/>
              <w:bottom w:val="single" w:color="000000" w:sz="4" w:space="0"/>
              <w:right w:val="single" w:color="000000" w:sz="4" w:space="0"/>
            </w:tcBorders>
            <w:shd w:val="clear" w:color="auto" w:fill="C0C0C0"/>
            <w:noWrap w:val="0"/>
            <w:vAlign w:val="center"/>
          </w:tcPr>
          <w:p w14:paraId="364BAEC0">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4" w:space="0"/>
              <w:right w:val="single" w:color="000000" w:sz="4" w:space="0"/>
            </w:tcBorders>
            <w:shd w:val="clear" w:color="auto" w:fill="C0C0C0"/>
            <w:noWrap w:val="0"/>
            <w:vAlign w:val="center"/>
          </w:tcPr>
          <w:p w14:paraId="798E011D">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4" w:space="0"/>
              <w:right w:val="single" w:color="000000" w:sz="4" w:space="0"/>
            </w:tcBorders>
            <w:shd w:val="clear" w:color="auto" w:fill="C0C0C0"/>
            <w:noWrap w:val="0"/>
            <w:vAlign w:val="center"/>
          </w:tcPr>
          <w:p w14:paraId="18670F4F">
            <w:pPr>
              <w:jc w:val="center"/>
              <w:rPr>
                <w:rFonts w:hint="eastAsia" w:ascii="宋体" w:hAnsi="宋体" w:eastAsia="宋体" w:cs="宋体"/>
                <w:i w:val="0"/>
                <w:iCs w:val="0"/>
                <w:color w:val="000000"/>
                <w:sz w:val="20"/>
                <w:szCs w:val="20"/>
                <w:u w:val="none"/>
              </w:rPr>
            </w:pPr>
          </w:p>
        </w:tc>
        <w:tc>
          <w:tcPr>
            <w:tcW w:w="1756" w:type="dxa"/>
            <w:vMerge w:val="continue"/>
            <w:tcBorders>
              <w:top w:val="nil"/>
              <w:left w:val="nil"/>
              <w:bottom w:val="single" w:color="000000" w:sz="4" w:space="0"/>
              <w:right w:val="single" w:color="000000" w:sz="4" w:space="0"/>
            </w:tcBorders>
            <w:shd w:val="clear" w:color="auto" w:fill="C0C0C0"/>
            <w:noWrap w:val="0"/>
            <w:vAlign w:val="center"/>
          </w:tcPr>
          <w:p w14:paraId="3FD4F6B1">
            <w:pPr>
              <w:jc w:val="center"/>
              <w:rPr>
                <w:rFonts w:hint="eastAsia" w:ascii="宋体" w:hAnsi="宋体" w:eastAsia="宋体" w:cs="宋体"/>
                <w:i w:val="0"/>
                <w:iCs w:val="0"/>
                <w:color w:val="000000"/>
                <w:sz w:val="20"/>
                <w:szCs w:val="20"/>
                <w:u w:val="none"/>
              </w:rPr>
            </w:pPr>
          </w:p>
        </w:tc>
      </w:tr>
      <w:tr w14:paraId="6BE67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25" w:type="dxa"/>
            <w:gridSpan w:val="4"/>
            <w:tcBorders>
              <w:top w:val="nil"/>
              <w:left w:val="single" w:color="000000" w:sz="4" w:space="0"/>
              <w:bottom w:val="single" w:color="000000" w:sz="4" w:space="0"/>
              <w:right w:val="single" w:color="000000" w:sz="4" w:space="0"/>
            </w:tcBorders>
            <w:shd w:val="clear" w:color="auto" w:fill="C0C0C0"/>
            <w:noWrap/>
            <w:vAlign w:val="center"/>
          </w:tcPr>
          <w:p w14:paraId="63DC88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616" w:type="dxa"/>
            <w:tcBorders>
              <w:top w:val="nil"/>
              <w:left w:val="nil"/>
              <w:bottom w:val="single" w:color="000000" w:sz="4" w:space="0"/>
              <w:right w:val="single" w:color="000000" w:sz="4" w:space="0"/>
            </w:tcBorders>
            <w:shd w:val="clear" w:color="auto" w:fill="C0C0C0"/>
            <w:noWrap/>
            <w:vAlign w:val="center"/>
          </w:tcPr>
          <w:p w14:paraId="6C4252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16" w:type="dxa"/>
            <w:tcBorders>
              <w:top w:val="nil"/>
              <w:left w:val="nil"/>
              <w:bottom w:val="single" w:color="000000" w:sz="4" w:space="0"/>
              <w:right w:val="single" w:color="000000" w:sz="4" w:space="0"/>
            </w:tcBorders>
            <w:shd w:val="clear" w:color="auto" w:fill="C0C0C0"/>
            <w:noWrap/>
            <w:vAlign w:val="center"/>
          </w:tcPr>
          <w:p w14:paraId="30EE5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16" w:type="dxa"/>
            <w:tcBorders>
              <w:top w:val="nil"/>
              <w:left w:val="nil"/>
              <w:bottom w:val="single" w:color="000000" w:sz="4" w:space="0"/>
              <w:right w:val="single" w:color="000000" w:sz="4" w:space="0"/>
            </w:tcBorders>
            <w:shd w:val="clear" w:color="auto" w:fill="C0C0C0"/>
            <w:noWrap/>
            <w:vAlign w:val="center"/>
          </w:tcPr>
          <w:p w14:paraId="53683E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16" w:type="dxa"/>
            <w:tcBorders>
              <w:top w:val="nil"/>
              <w:left w:val="nil"/>
              <w:bottom w:val="single" w:color="000000" w:sz="4" w:space="0"/>
              <w:right w:val="single" w:color="000000" w:sz="4" w:space="0"/>
            </w:tcBorders>
            <w:shd w:val="clear" w:color="auto" w:fill="C0C0C0"/>
            <w:noWrap/>
            <w:vAlign w:val="center"/>
          </w:tcPr>
          <w:p w14:paraId="14EE12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16" w:type="dxa"/>
            <w:tcBorders>
              <w:top w:val="nil"/>
              <w:left w:val="nil"/>
              <w:bottom w:val="single" w:color="000000" w:sz="4" w:space="0"/>
              <w:right w:val="single" w:color="000000" w:sz="4" w:space="0"/>
            </w:tcBorders>
            <w:shd w:val="clear" w:color="auto" w:fill="C0C0C0"/>
            <w:noWrap/>
            <w:vAlign w:val="center"/>
          </w:tcPr>
          <w:p w14:paraId="742142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56" w:type="dxa"/>
            <w:tcBorders>
              <w:top w:val="nil"/>
              <w:left w:val="nil"/>
              <w:bottom w:val="single" w:color="000000" w:sz="4" w:space="0"/>
              <w:right w:val="single" w:color="000000" w:sz="4" w:space="0"/>
            </w:tcBorders>
            <w:shd w:val="clear" w:color="auto" w:fill="C0C0C0"/>
            <w:noWrap/>
            <w:vAlign w:val="center"/>
          </w:tcPr>
          <w:p w14:paraId="52306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127DC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25" w:type="dxa"/>
            <w:gridSpan w:val="4"/>
            <w:tcBorders>
              <w:top w:val="nil"/>
              <w:left w:val="single" w:color="000000" w:sz="4" w:space="0"/>
              <w:bottom w:val="single" w:color="000000" w:sz="4" w:space="0"/>
              <w:right w:val="single" w:color="000000" w:sz="4" w:space="0"/>
            </w:tcBorders>
            <w:shd w:val="clear" w:color="auto" w:fill="C0C0C0"/>
            <w:noWrap/>
            <w:vAlign w:val="center"/>
          </w:tcPr>
          <w:p w14:paraId="3A67EBD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616" w:type="dxa"/>
            <w:tcBorders>
              <w:top w:val="nil"/>
              <w:left w:val="nil"/>
              <w:bottom w:val="single" w:color="000000" w:sz="4" w:space="0"/>
              <w:right w:val="single" w:color="000000" w:sz="4" w:space="0"/>
            </w:tcBorders>
            <w:shd w:val="clear" w:color="auto" w:fill="FFFFFF"/>
            <w:noWrap/>
            <w:vAlign w:val="center"/>
          </w:tcPr>
          <w:p w14:paraId="0D6B5961">
            <w:pPr>
              <w:jc w:val="right"/>
              <w:rPr>
                <w:rFonts w:hint="eastAsia" w:ascii="宋体" w:hAnsi="宋体" w:eastAsia="宋体" w:cs="宋体"/>
                <w:b/>
                <w:bCs/>
                <w:i w:val="0"/>
                <w:iCs w:val="0"/>
                <w:color w:val="000000"/>
                <w:sz w:val="20"/>
                <w:szCs w:val="20"/>
                <w:u w:val="none"/>
              </w:rPr>
            </w:pPr>
            <w:r>
              <w:rPr>
                <w:rFonts w:hint="eastAsia" w:ascii="宋体" w:hAnsi="宋体" w:cs="宋体"/>
                <w:i w:val="0"/>
                <w:iCs w:val="0"/>
                <w:color w:val="000000"/>
                <w:sz w:val="20"/>
                <w:szCs w:val="20"/>
                <w:u w:val="none"/>
                <w:lang w:val="en-US" w:eastAsia="zh-CN"/>
              </w:rPr>
              <w:t>0.00</w:t>
            </w:r>
          </w:p>
        </w:tc>
        <w:tc>
          <w:tcPr>
            <w:tcW w:w="1016" w:type="dxa"/>
            <w:tcBorders>
              <w:top w:val="nil"/>
              <w:left w:val="nil"/>
              <w:bottom w:val="single" w:color="000000" w:sz="4" w:space="0"/>
              <w:right w:val="single" w:color="000000" w:sz="4" w:space="0"/>
            </w:tcBorders>
            <w:shd w:val="clear" w:color="auto" w:fill="FFFFFF"/>
            <w:noWrap/>
            <w:vAlign w:val="center"/>
          </w:tcPr>
          <w:p w14:paraId="587AE0DD">
            <w:pPr>
              <w:jc w:val="right"/>
              <w:rPr>
                <w:rFonts w:hint="eastAsia" w:ascii="宋体" w:hAnsi="宋体" w:eastAsia="宋体" w:cs="宋体"/>
                <w:b/>
                <w:bCs/>
                <w:i w:val="0"/>
                <w:iCs w:val="0"/>
                <w:color w:val="000000"/>
                <w:sz w:val="20"/>
                <w:szCs w:val="20"/>
                <w:u w:val="none"/>
              </w:rPr>
            </w:pPr>
            <w:r>
              <w:rPr>
                <w:rFonts w:hint="eastAsia" w:ascii="宋体" w:hAnsi="宋体" w:cs="宋体"/>
                <w:i w:val="0"/>
                <w:iCs w:val="0"/>
                <w:color w:val="000000"/>
                <w:sz w:val="20"/>
                <w:szCs w:val="20"/>
                <w:u w:val="none"/>
                <w:lang w:val="en-US" w:eastAsia="zh-CN"/>
              </w:rPr>
              <w:t>0.00</w:t>
            </w:r>
          </w:p>
        </w:tc>
        <w:tc>
          <w:tcPr>
            <w:tcW w:w="616" w:type="dxa"/>
            <w:tcBorders>
              <w:top w:val="nil"/>
              <w:left w:val="nil"/>
              <w:bottom w:val="single" w:color="000000" w:sz="4" w:space="0"/>
              <w:right w:val="single" w:color="000000" w:sz="4" w:space="0"/>
            </w:tcBorders>
            <w:shd w:val="clear" w:color="auto" w:fill="FFFFFF"/>
            <w:noWrap/>
            <w:vAlign w:val="center"/>
          </w:tcPr>
          <w:p w14:paraId="413825AE">
            <w:pPr>
              <w:jc w:val="right"/>
              <w:rPr>
                <w:rFonts w:hint="eastAsia" w:ascii="宋体" w:hAnsi="宋体" w:eastAsia="宋体" w:cs="宋体"/>
                <w:b/>
                <w:bCs/>
                <w:i w:val="0"/>
                <w:iCs w:val="0"/>
                <w:color w:val="000000"/>
                <w:sz w:val="20"/>
                <w:szCs w:val="20"/>
                <w:u w:val="none"/>
              </w:rPr>
            </w:pPr>
            <w:r>
              <w:rPr>
                <w:rFonts w:hint="eastAsia" w:ascii="宋体" w:hAnsi="宋体" w:cs="宋体"/>
                <w:i w:val="0"/>
                <w:iCs w:val="0"/>
                <w:color w:val="000000"/>
                <w:sz w:val="20"/>
                <w:szCs w:val="20"/>
                <w:u w:val="none"/>
                <w:lang w:val="en-US" w:eastAsia="zh-CN"/>
              </w:rPr>
              <w:t>0.00</w:t>
            </w:r>
          </w:p>
        </w:tc>
        <w:tc>
          <w:tcPr>
            <w:tcW w:w="1016" w:type="dxa"/>
            <w:tcBorders>
              <w:top w:val="nil"/>
              <w:left w:val="nil"/>
              <w:bottom w:val="single" w:color="000000" w:sz="4" w:space="0"/>
              <w:right w:val="single" w:color="000000" w:sz="4" w:space="0"/>
            </w:tcBorders>
            <w:shd w:val="clear" w:color="auto" w:fill="FFFFFF"/>
            <w:noWrap/>
            <w:vAlign w:val="center"/>
          </w:tcPr>
          <w:p w14:paraId="2A4AC9B4">
            <w:pPr>
              <w:jc w:val="right"/>
              <w:rPr>
                <w:rFonts w:hint="eastAsia" w:ascii="宋体" w:hAnsi="宋体" w:eastAsia="宋体" w:cs="宋体"/>
                <w:b/>
                <w:bCs/>
                <w:i w:val="0"/>
                <w:iCs w:val="0"/>
                <w:color w:val="000000"/>
                <w:sz w:val="20"/>
                <w:szCs w:val="20"/>
                <w:u w:val="none"/>
              </w:rPr>
            </w:pPr>
            <w:r>
              <w:rPr>
                <w:rFonts w:hint="eastAsia" w:ascii="宋体" w:hAnsi="宋体" w:cs="宋体"/>
                <w:i w:val="0"/>
                <w:iCs w:val="0"/>
                <w:color w:val="000000"/>
                <w:sz w:val="20"/>
                <w:szCs w:val="20"/>
                <w:u w:val="none"/>
                <w:lang w:val="en-US" w:eastAsia="zh-CN"/>
              </w:rPr>
              <w:t>0.00</w:t>
            </w:r>
          </w:p>
        </w:tc>
        <w:tc>
          <w:tcPr>
            <w:tcW w:w="1016" w:type="dxa"/>
            <w:tcBorders>
              <w:top w:val="nil"/>
              <w:left w:val="nil"/>
              <w:bottom w:val="single" w:color="000000" w:sz="4" w:space="0"/>
              <w:right w:val="single" w:color="000000" w:sz="4" w:space="0"/>
            </w:tcBorders>
            <w:shd w:val="clear" w:color="auto" w:fill="FFFFFF"/>
            <w:noWrap/>
            <w:vAlign w:val="center"/>
          </w:tcPr>
          <w:p w14:paraId="7970163F">
            <w:pPr>
              <w:jc w:val="right"/>
              <w:rPr>
                <w:rFonts w:hint="eastAsia" w:ascii="宋体" w:hAnsi="宋体" w:eastAsia="宋体" w:cs="宋体"/>
                <w:b/>
                <w:bCs/>
                <w:i w:val="0"/>
                <w:iCs w:val="0"/>
                <w:color w:val="000000"/>
                <w:sz w:val="20"/>
                <w:szCs w:val="20"/>
                <w:u w:val="none"/>
              </w:rPr>
            </w:pPr>
            <w:r>
              <w:rPr>
                <w:rFonts w:hint="eastAsia" w:ascii="宋体" w:hAnsi="宋体" w:cs="宋体"/>
                <w:i w:val="0"/>
                <w:iCs w:val="0"/>
                <w:color w:val="000000"/>
                <w:sz w:val="20"/>
                <w:szCs w:val="20"/>
                <w:u w:val="none"/>
                <w:lang w:val="en-US" w:eastAsia="zh-CN"/>
              </w:rPr>
              <w:t>0.00</w:t>
            </w:r>
          </w:p>
        </w:tc>
        <w:tc>
          <w:tcPr>
            <w:tcW w:w="1756" w:type="dxa"/>
            <w:tcBorders>
              <w:top w:val="nil"/>
              <w:left w:val="nil"/>
              <w:bottom w:val="single" w:color="000000" w:sz="4" w:space="0"/>
              <w:right w:val="single" w:color="000000" w:sz="4" w:space="0"/>
            </w:tcBorders>
            <w:shd w:val="clear" w:color="auto" w:fill="FFFFFF"/>
            <w:noWrap/>
            <w:vAlign w:val="center"/>
          </w:tcPr>
          <w:p w14:paraId="40BC6855">
            <w:pPr>
              <w:jc w:val="right"/>
              <w:rPr>
                <w:rFonts w:hint="eastAsia" w:ascii="宋体" w:hAnsi="宋体" w:eastAsia="宋体" w:cs="宋体"/>
                <w:b/>
                <w:bCs/>
                <w:i w:val="0"/>
                <w:iCs w:val="0"/>
                <w:color w:val="000000"/>
                <w:sz w:val="20"/>
                <w:szCs w:val="20"/>
                <w:u w:val="none"/>
              </w:rPr>
            </w:pPr>
            <w:r>
              <w:rPr>
                <w:rFonts w:hint="eastAsia" w:ascii="宋体" w:hAnsi="宋体" w:cs="宋体"/>
                <w:i w:val="0"/>
                <w:iCs w:val="0"/>
                <w:color w:val="000000"/>
                <w:sz w:val="20"/>
                <w:szCs w:val="20"/>
                <w:u w:val="none"/>
                <w:lang w:val="en-US" w:eastAsia="zh-CN"/>
              </w:rPr>
              <w:t>0.00</w:t>
            </w:r>
          </w:p>
        </w:tc>
      </w:tr>
      <w:tr w14:paraId="12104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9" w:type="dxa"/>
            <w:gridSpan w:val="3"/>
            <w:tcBorders>
              <w:top w:val="nil"/>
              <w:left w:val="single" w:color="000000" w:sz="4" w:space="0"/>
              <w:bottom w:val="single" w:color="000000" w:sz="4" w:space="0"/>
              <w:right w:val="single" w:color="000000" w:sz="4" w:space="0"/>
            </w:tcBorders>
            <w:shd w:val="clear" w:color="auto" w:fill="FFFFFF"/>
            <w:noWrap/>
            <w:vAlign w:val="center"/>
          </w:tcPr>
          <w:p w14:paraId="452005B4">
            <w:pPr>
              <w:jc w:val="left"/>
              <w:rPr>
                <w:rFonts w:hint="eastAsia" w:ascii="宋体" w:hAnsi="宋体" w:eastAsia="宋体" w:cs="宋体"/>
                <w:i w:val="0"/>
                <w:iCs w:val="0"/>
                <w:color w:val="000000"/>
                <w:sz w:val="20"/>
                <w:szCs w:val="20"/>
                <w:u w:val="none"/>
              </w:rPr>
            </w:pPr>
          </w:p>
        </w:tc>
        <w:tc>
          <w:tcPr>
            <w:tcW w:w="1016" w:type="dxa"/>
            <w:tcBorders>
              <w:top w:val="nil"/>
              <w:left w:val="nil"/>
              <w:bottom w:val="single" w:color="000000" w:sz="4" w:space="0"/>
              <w:right w:val="single" w:color="000000" w:sz="4" w:space="0"/>
            </w:tcBorders>
            <w:shd w:val="clear" w:color="auto" w:fill="CCFFFF"/>
            <w:noWrap/>
            <w:vAlign w:val="center"/>
          </w:tcPr>
          <w:p w14:paraId="6306FD60">
            <w:pPr>
              <w:jc w:val="left"/>
              <w:rPr>
                <w:rFonts w:hint="eastAsia" w:ascii="宋体" w:hAnsi="宋体" w:eastAsia="宋体" w:cs="宋体"/>
                <w:i w:val="0"/>
                <w:iCs w:val="0"/>
                <w:color w:val="000000"/>
                <w:sz w:val="20"/>
                <w:szCs w:val="20"/>
                <w:u w:val="none"/>
              </w:rPr>
            </w:pPr>
          </w:p>
        </w:tc>
        <w:tc>
          <w:tcPr>
            <w:tcW w:w="1616" w:type="dxa"/>
            <w:tcBorders>
              <w:top w:val="nil"/>
              <w:left w:val="nil"/>
              <w:bottom w:val="single" w:color="000000" w:sz="4" w:space="0"/>
              <w:right w:val="single" w:color="000000" w:sz="4" w:space="0"/>
            </w:tcBorders>
            <w:shd w:val="clear" w:color="auto" w:fill="FFFFFF"/>
            <w:noWrap/>
            <w:vAlign w:val="center"/>
          </w:tcPr>
          <w:p w14:paraId="6BEB3489">
            <w:pPr>
              <w:jc w:val="right"/>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0.00</w:t>
            </w:r>
          </w:p>
        </w:tc>
        <w:tc>
          <w:tcPr>
            <w:tcW w:w="1016" w:type="dxa"/>
            <w:tcBorders>
              <w:top w:val="nil"/>
              <w:left w:val="nil"/>
              <w:bottom w:val="single" w:color="000000" w:sz="4" w:space="0"/>
              <w:right w:val="single" w:color="000000" w:sz="4" w:space="0"/>
            </w:tcBorders>
            <w:shd w:val="clear" w:color="auto" w:fill="FFFFFF"/>
            <w:noWrap/>
            <w:vAlign w:val="center"/>
          </w:tcPr>
          <w:p w14:paraId="4E799778">
            <w:pPr>
              <w:jc w:val="right"/>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0.00</w:t>
            </w:r>
          </w:p>
        </w:tc>
        <w:tc>
          <w:tcPr>
            <w:tcW w:w="616" w:type="dxa"/>
            <w:tcBorders>
              <w:top w:val="nil"/>
              <w:left w:val="nil"/>
              <w:bottom w:val="single" w:color="000000" w:sz="4" w:space="0"/>
              <w:right w:val="single" w:color="000000" w:sz="4" w:space="0"/>
            </w:tcBorders>
            <w:shd w:val="clear" w:color="auto" w:fill="FFFFFF"/>
            <w:noWrap/>
            <w:vAlign w:val="center"/>
          </w:tcPr>
          <w:p w14:paraId="6BC99158">
            <w:pPr>
              <w:jc w:val="right"/>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0.00</w:t>
            </w:r>
          </w:p>
        </w:tc>
        <w:tc>
          <w:tcPr>
            <w:tcW w:w="1016" w:type="dxa"/>
            <w:tcBorders>
              <w:top w:val="nil"/>
              <w:left w:val="nil"/>
              <w:bottom w:val="single" w:color="000000" w:sz="4" w:space="0"/>
              <w:right w:val="single" w:color="000000" w:sz="4" w:space="0"/>
            </w:tcBorders>
            <w:shd w:val="clear" w:color="auto" w:fill="FFFFFF"/>
            <w:noWrap/>
            <w:vAlign w:val="center"/>
          </w:tcPr>
          <w:p w14:paraId="072D9DC6">
            <w:pPr>
              <w:jc w:val="right"/>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0.00</w:t>
            </w:r>
          </w:p>
        </w:tc>
        <w:tc>
          <w:tcPr>
            <w:tcW w:w="1016" w:type="dxa"/>
            <w:tcBorders>
              <w:top w:val="nil"/>
              <w:left w:val="nil"/>
              <w:bottom w:val="single" w:color="000000" w:sz="4" w:space="0"/>
              <w:right w:val="single" w:color="000000" w:sz="4" w:space="0"/>
            </w:tcBorders>
            <w:shd w:val="clear" w:color="auto" w:fill="FFFFFF"/>
            <w:noWrap/>
            <w:vAlign w:val="center"/>
          </w:tcPr>
          <w:p w14:paraId="72756BCA">
            <w:pPr>
              <w:jc w:val="right"/>
              <w:rPr>
                <w:rFonts w:hint="eastAsia" w:ascii="宋体" w:hAnsi="宋体" w:eastAsia="宋体" w:cs="宋体"/>
                <w:i w:val="0"/>
                <w:iCs w:val="0"/>
                <w:color w:val="000000"/>
                <w:sz w:val="20"/>
                <w:szCs w:val="20"/>
                <w:u w:val="none"/>
              </w:rPr>
            </w:pPr>
          </w:p>
        </w:tc>
        <w:tc>
          <w:tcPr>
            <w:tcW w:w="1756" w:type="dxa"/>
            <w:tcBorders>
              <w:top w:val="nil"/>
              <w:left w:val="nil"/>
              <w:bottom w:val="single" w:color="000000" w:sz="4" w:space="0"/>
              <w:right w:val="single" w:color="000000" w:sz="4" w:space="0"/>
            </w:tcBorders>
            <w:shd w:val="clear" w:color="auto" w:fill="FFFFFF"/>
            <w:noWrap/>
            <w:vAlign w:val="center"/>
          </w:tcPr>
          <w:p w14:paraId="4DA3EB66">
            <w:pPr>
              <w:jc w:val="right"/>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0.00</w:t>
            </w:r>
          </w:p>
        </w:tc>
      </w:tr>
      <w:tr w14:paraId="68006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061" w:type="dxa"/>
            <w:gridSpan w:val="10"/>
            <w:tcBorders>
              <w:top w:val="nil"/>
              <w:left w:val="nil"/>
              <w:bottom w:val="nil"/>
              <w:right w:val="nil"/>
            </w:tcBorders>
            <w:shd w:val="clear" w:color="auto" w:fill="FFFFFF"/>
            <w:noWrap/>
            <w:vAlign w:val="center"/>
          </w:tcPr>
          <w:p w14:paraId="3CA887E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注：本表反映部门本年度政府性基金预算财政拨款收入、支出及结转和结余情况。 </w:t>
            </w:r>
          </w:p>
          <w:p w14:paraId="46D96E1C">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我部门无此项内容，本表无数据。</w:t>
            </w:r>
          </w:p>
        </w:tc>
      </w:tr>
    </w:tbl>
    <w:p w14:paraId="3E68F232">
      <w:pPr>
        <w:keepNext w:val="0"/>
        <w:keepLines w:val="0"/>
        <w:pageBreakBefore w:val="0"/>
        <w:widowControl/>
        <w:shd w:val="clear" w:color="auto" w:fill="FFFFFF"/>
        <w:kinsoku/>
        <w:overflowPunct/>
        <w:topLinePunct w:val="0"/>
        <w:autoSpaceDE/>
        <w:autoSpaceDN/>
        <w:bidi w:val="0"/>
        <w:adjustRightInd/>
        <w:spacing w:before="40" w:line="450" w:lineRule="atLeast"/>
        <w:textAlignment w:val="auto"/>
      </w:pPr>
      <w:r>
        <w:drawing>
          <wp:inline distT="0" distB="0" distL="114300" distR="114300">
            <wp:extent cx="8283575" cy="1779905"/>
            <wp:effectExtent l="0" t="0" r="3175" b="1079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1"/>
                    <a:stretch>
                      <a:fillRect/>
                    </a:stretch>
                  </pic:blipFill>
                  <pic:spPr>
                    <a:xfrm>
                      <a:off x="0" y="0"/>
                      <a:ext cx="8283575" cy="1779905"/>
                    </a:xfrm>
                    <a:prstGeom prst="rect">
                      <a:avLst/>
                    </a:prstGeom>
                    <a:noFill/>
                    <a:ln>
                      <a:noFill/>
                    </a:ln>
                  </pic:spPr>
                </pic:pic>
              </a:graphicData>
            </a:graphic>
          </wp:inline>
        </w:drawing>
      </w:r>
    </w:p>
    <w:p w14:paraId="74423C1E">
      <w:pPr>
        <w:keepNext w:val="0"/>
        <w:keepLines w:val="0"/>
        <w:pageBreakBefore w:val="0"/>
        <w:widowControl/>
        <w:shd w:val="clear" w:color="auto" w:fill="FFFFFF"/>
        <w:kinsoku/>
        <w:overflowPunct/>
        <w:topLinePunct w:val="0"/>
        <w:autoSpaceDE/>
        <w:autoSpaceDN/>
        <w:bidi w:val="0"/>
        <w:adjustRightInd/>
        <w:spacing w:before="40" w:line="450" w:lineRule="atLeast"/>
        <w:textAlignment w:val="auto"/>
        <w:rPr>
          <w:rFonts w:hint="default"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注：本表反映部门本年度“三公”经费支出预决算情况。</w:t>
      </w:r>
      <w:r>
        <w:rPr>
          <w:rFonts w:hint="eastAsia" w:ascii="宋体" w:hAnsi="宋体" w:cs="宋体"/>
          <w:i w:val="0"/>
          <w:color w:val="000000"/>
          <w:kern w:val="0"/>
          <w:sz w:val="20"/>
          <w:szCs w:val="20"/>
          <w:u w:val="none"/>
          <w:lang w:val="en-US" w:eastAsia="zh-CN" w:bidi="ar"/>
        </w:rPr>
        <w:t>我部门无此项内容，本表无数据。</w:t>
      </w:r>
    </w:p>
    <w:p w14:paraId="3BA5213C">
      <w:pPr>
        <w:keepNext w:val="0"/>
        <w:keepLines w:val="0"/>
        <w:pageBreakBefore w:val="0"/>
        <w:widowControl/>
        <w:shd w:val="clear" w:color="auto" w:fill="FFFFFF"/>
        <w:kinsoku/>
        <w:overflowPunct/>
        <w:topLinePunct w:val="0"/>
        <w:autoSpaceDE/>
        <w:autoSpaceDN/>
        <w:bidi w:val="0"/>
        <w:adjustRightInd/>
        <w:spacing w:before="40" w:line="450" w:lineRule="atLeast"/>
        <w:textAlignment w:val="auto"/>
        <w:rPr>
          <w:rFonts w:hint="eastAsia" w:ascii="宋体" w:hAnsi="宋体" w:cs="宋体"/>
          <w:i w:val="0"/>
          <w:color w:val="000000"/>
          <w:kern w:val="0"/>
          <w:sz w:val="20"/>
          <w:szCs w:val="20"/>
          <w:u w:val="none"/>
          <w:lang w:val="en-US" w:eastAsia="zh-CN" w:bidi="ar"/>
        </w:rPr>
      </w:pPr>
    </w:p>
    <w:p w14:paraId="721B9B19">
      <w:pPr>
        <w:pStyle w:val="17"/>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ascii="宋体" w:hAnsi="宋体" w:eastAsia="宋体" w:cs="宋体"/>
          <w:kern w:val="0"/>
          <w:sz w:val="24"/>
          <w:szCs w:val="24"/>
          <w:lang w:val="en-US" w:eastAsia="zh-CN" w:bidi="ar-SA"/>
        </w:rPr>
      </w:pPr>
    </w:p>
    <w:tbl>
      <w:tblPr>
        <w:tblStyle w:val="7"/>
        <w:tblW w:w="135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19"/>
        <w:gridCol w:w="289"/>
        <w:gridCol w:w="289"/>
        <w:gridCol w:w="1497"/>
        <w:gridCol w:w="1373"/>
        <w:gridCol w:w="1212"/>
        <w:gridCol w:w="2941"/>
      </w:tblGrid>
      <w:tr w14:paraId="3500A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77" w:hRule="atLeast"/>
          <w:jc w:val="center"/>
        </w:trPr>
        <w:tc>
          <w:tcPr>
            <w:tcW w:w="13520" w:type="dxa"/>
            <w:gridSpan w:val="7"/>
            <w:tcBorders>
              <w:top w:val="nil"/>
              <w:left w:val="nil"/>
              <w:bottom w:val="nil"/>
              <w:right w:val="nil"/>
            </w:tcBorders>
            <w:shd w:val="clear" w:color="auto" w:fill="FFFFFF"/>
            <w:noWrap/>
            <w:vAlign w:val="center"/>
          </w:tcPr>
          <w:p w14:paraId="01B935F7">
            <w:pPr>
              <w:keepNext w:val="0"/>
              <w:keepLines w:val="0"/>
              <w:widowControl/>
              <w:suppressLineNumbers w:val="0"/>
              <w:jc w:val="center"/>
              <w:textAlignment w:val="center"/>
              <w:rPr>
                <w:rFonts w:hint="eastAsia" w:ascii="黑体" w:hAnsi="宋体" w:eastAsia="黑体" w:cs="黑体"/>
                <w:i w:val="0"/>
                <w:iCs w:val="0"/>
                <w:color w:val="000000"/>
                <w:kern w:val="0"/>
                <w:sz w:val="30"/>
                <w:szCs w:val="30"/>
                <w:u w:val="none"/>
                <w:lang w:val="en-US" w:eastAsia="zh-CN" w:bidi="ar"/>
              </w:rPr>
            </w:pPr>
          </w:p>
          <w:p w14:paraId="2878BFA8">
            <w:pPr>
              <w:keepNext w:val="0"/>
              <w:keepLines w:val="0"/>
              <w:widowControl/>
              <w:suppressLineNumbers w:val="0"/>
              <w:jc w:val="center"/>
              <w:textAlignment w:val="center"/>
              <w:rPr>
                <w:rFonts w:hint="eastAsia" w:ascii="黑体" w:hAnsi="宋体" w:eastAsia="黑体" w:cs="黑体"/>
                <w:i w:val="0"/>
                <w:iCs w:val="0"/>
                <w:color w:val="000000"/>
                <w:kern w:val="0"/>
                <w:sz w:val="30"/>
                <w:szCs w:val="30"/>
                <w:u w:val="none"/>
                <w:lang w:val="en-US" w:eastAsia="zh-CN" w:bidi="ar"/>
              </w:rPr>
            </w:pPr>
          </w:p>
          <w:p w14:paraId="274023AE">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国有资本经营预算财政拨款支出决算表</w:t>
            </w:r>
          </w:p>
        </w:tc>
      </w:tr>
      <w:tr w14:paraId="50DBF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jc w:val="center"/>
        </w:trPr>
        <w:tc>
          <w:tcPr>
            <w:tcW w:w="5919" w:type="dxa"/>
            <w:tcBorders>
              <w:top w:val="nil"/>
              <w:left w:val="nil"/>
              <w:bottom w:val="nil"/>
              <w:right w:val="nil"/>
            </w:tcBorders>
            <w:shd w:val="clear" w:color="auto" w:fill="FFFFFF"/>
            <w:noWrap/>
            <w:vAlign w:val="center"/>
          </w:tcPr>
          <w:p w14:paraId="01F00D04">
            <w:pPr>
              <w:jc w:val="left"/>
              <w:rPr>
                <w:rFonts w:hint="eastAsia" w:ascii="宋体" w:hAnsi="宋体" w:eastAsia="宋体" w:cs="宋体"/>
                <w:i w:val="0"/>
                <w:iCs w:val="0"/>
                <w:color w:val="000000"/>
                <w:sz w:val="18"/>
                <w:szCs w:val="18"/>
                <w:u w:val="none"/>
              </w:rPr>
            </w:pPr>
          </w:p>
        </w:tc>
        <w:tc>
          <w:tcPr>
            <w:tcW w:w="289" w:type="dxa"/>
            <w:tcBorders>
              <w:top w:val="nil"/>
              <w:left w:val="nil"/>
              <w:bottom w:val="nil"/>
              <w:right w:val="nil"/>
            </w:tcBorders>
            <w:shd w:val="clear" w:color="auto" w:fill="FFFFFF"/>
            <w:noWrap/>
            <w:vAlign w:val="center"/>
          </w:tcPr>
          <w:p w14:paraId="4F3FC4BD">
            <w:pPr>
              <w:jc w:val="left"/>
              <w:rPr>
                <w:rFonts w:hint="eastAsia" w:ascii="宋体" w:hAnsi="宋体" w:eastAsia="宋体" w:cs="宋体"/>
                <w:i w:val="0"/>
                <w:iCs w:val="0"/>
                <w:color w:val="000000"/>
                <w:sz w:val="18"/>
                <w:szCs w:val="18"/>
                <w:u w:val="none"/>
              </w:rPr>
            </w:pPr>
          </w:p>
        </w:tc>
        <w:tc>
          <w:tcPr>
            <w:tcW w:w="289" w:type="dxa"/>
            <w:tcBorders>
              <w:top w:val="nil"/>
              <w:left w:val="nil"/>
              <w:bottom w:val="nil"/>
              <w:right w:val="nil"/>
            </w:tcBorders>
            <w:shd w:val="clear" w:color="auto" w:fill="FFFFFF"/>
            <w:noWrap/>
            <w:vAlign w:val="center"/>
          </w:tcPr>
          <w:p w14:paraId="3FD0302A">
            <w:pPr>
              <w:jc w:val="left"/>
              <w:rPr>
                <w:rFonts w:hint="eastAsia" w:ascii="宋体" w:hAnsi="宋体" w:eastAsia="宋体" w:cs="宋体"/>
                <w:i w:val="0"/>
                <w:iCs w:val="0"/>
                <w:color w:val="000000"/>
                <w:sz w:val="18"/>
                <w:szCs w:val="18"/>
                <w:u w:val="none"/>
              </w:rPr>
            </w:pPr>
          </w:p>
        </w:tc>
        <w:tc>
          <w:tcPr>
            <w:tcW w:w="1497" w:type="dxa"/>
            <w:tcBorders>
              <w:top w:val="nil"/>
              <w:left w:val="nil"/>
              <w:bottom w:val="nil"/>
              <w:right w:val="nil"/>
            </w:tcBorders>
            <w:shd w:val="clear" w:color="auto" w:fill="FFFFFF"/>
            <w:noWrap/>
            <w:vAlign w:val="center"/>
          </w:tcPr>
          <w:p w14:paraId="4333C4E9">
            <w:pPr>
              <w:jc w:val="left"/>
              <w:rPr>
                <w:rFonts w:hint="eastAsia" w:ascii="宋体" w:hAnsi="宋体" w:eastAsia="宋体" w:cs="宋体"/>
                <w:i w:val="0"/>
                <w:iCs w:val="0"/>
                <w:color w:val="000000"/>
                <w:sz w:val="18"/>
                <w:szCs w:val="18"/>
                <w:u w:val="none"/>
              </w:rPr>
            </w:pPr>
          </w:p>
        </w:tc>
        <w:tc>
          <w:tcPr>
            <w:tcW w:w="1373" w:type="dxa"/>
            <w:tcBorders>
              <w:top w:val="nil"/>
              <w:left w:val="nil"/>
              <w:bottom w:val="nil"/>
              <w:right w:val="nil"/>
            </w:tcBorders>
            <w:shd w:val="clear" w:color="auto" w:fill="FFFFFF"/>
            <w:noWrap/>
            <w:vAlign w:val="center"/>
          </w:tcPr>
          <w:p w14:paraId="44F1AB7A">
            <w:pPr>
              <w:jc w:val="left"/>
              <w:rPr>
                <w:rFonts w:hint="eastAsia" w:ascii="宋体" w:hAnsi="宋体" w:eastAsia="宋体" w:cs="宋体"/>
                <w:i w:val="0"/>
                <w:iCs w:val="0"/>
                <w:color w:val="000000"/>
                <w:sz w:val="18"/>
                <w:szCs w:val="18"/>
                <w:u w:val="none"/>
              </w:rPr>
            </w:pPr>
          </w:p>
        </w:tc>
        <w:tc>
          <w:tcPr>
            <w:tcW w:w="1212" w:type="dxa"/>
            <w:tcBorders>
              <w:top w:val="nil"/>
              <w:left w:val="nil"/>
              <w:bottom w:val="nil"/>
              <w:right w:val="nil"/>
            </w:tcBorders>
            <w:shd w:val="clear" w:color="auto" w:fill="FFFFFF"/>
            <w:noWrap/>
            <w:vAlign w:val="center"/>
          </w:tcPr>
          <w:p w14:paraId="28EAD0DB">
            <w:pPr>
              <w:jc w:val="left"/>
              <w:rPr>
                <w:rFonts w:hint="eastAsia" w:ascii="宋体" w:hAnsi="宋体" w:eastAsia="宋体" w:cs="宋体"/>
                <w:i w:val="0"/>
                <w:iCs w:val="0"/>
                <w:color w:val="000000"/>
                <w:sz w:val="18"/>
                <w:szCs w:val="18"/>
                <w:u w:val="none"/>
              </w:rPr>
            </w:pPr>
          </w:p>
        </w:tc>
        <w:tc>
          <w:tcPr>
            <w:tcW w:w="2941" w:type="dxa"/>
            <w:tcBorders>
              <w:top w:val="nil"/>
              <w:left w:val="nil"/>
              <w:bottom w:val="nil"/>
              <w:right w:val="nil"/>
            </w:tcBorders>
            <w:shd w:val="clear" w:color="auto" w:fill="FFFFFF"/>
            <w:noWrap/>
            <w:vAlign w:val="center"/>
          </w:tcPr>
          <w:p w14:paraId="264B7A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公开09表</w:t>
            </w:r>
          </w:p>
        </w:tc>
      </w:tr>
      <w:tr w14:paraId="0DD31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jc w:val="center"/>
        </w:trPr>
        <w:tc>
          <w:tcPr>
            <w:tcW w:w="5919" w:type="dxa"/>
            <w:tcBorders>
              <w:top w:val="nil"/>
              <w:left w:val="nil"/>
              <w:bottom w:val="single" w:color="000000" w:sz="4" w:space="0"/>
              <w:right w:val="nil"/>
            </w:tcBorders>
            <w:shd w:val="clear" w:color="auto" w:fill="FFFFFF"/>
            <w:noWrap/>
            <w:vAlign w:val="center"/>
          </w:tcPr>
          <w:p w14:paraId="728B2E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部门：黄石市黄石港区</w:t>
            </w:r>
            <w:r>
              <w:rPr>
                <w:rFonts w:hint="eastAsia" w:ascii="宋体" w:hAnsi="宋体" w:cs="宋体"/>
                <w:i w:val="0"/>
                <w:iCs w:val="0"/>
                <w:color w:val="000000"/>
                <w:kern w:val="0"/>
                <w:sz w:val="22"/>
                <w:szCs w:val="22"/>
                <w:u w:val="none"/>
                <w:lang w:val="en-US" w:eastAsia="zh-CN" w:bidi="ar"/>
              </w:rPr>
              <w:t>胜阳港街道办事处</w:t>
            </w:r>
          </w:p>
        </w:tc>
        <w:tc>
          <w:tcPr>
            <w:tcW w:w="289" w:type="dxa"/>
            <w:tcBorders>
              <w:top w:val="nil"/>
              <w:left w:val="nil"/>
              <w:bottom w:val="single" w:color="000000" w:sz="4" w:space="0"/>
              <w:right w:val="nil"/>
            </w:tcBorders>
            <w:shd w:val="clear" w:color="auto" w:fill="FFFFFF"/>
            <w:noWrap/>
            <w:vAlign w:val="center"/>
          </w:tcPr>
          <w:p w14:paraId="0689D7C9">
            <w:pPr>
              <w:jc w:val="center"/>
              <w:rPr>
                <w:rFonts w:hint="eastAsia" w:ascii="宋体" w:hAnsi="宋体" w:eastAsia="宋体" w:cs="宋体"/>
                <w:i w:val="0"/>
                <w:iCs w:val="0"/>
                <w:color w:val="000000"/>
                <w:sz w:val="18"/>
                <w:szCs w:val="18"/>
                <w:u w:val="none"/>
              </w:rPr>
            </w:pPr>
          </w:p>
        </w:tc>
        <w:tc>
          <w:tcPr>
            <w:tcW w:w="289" w:type="dxa"/>
            <w:tcBorders>
              <w:top w:val="nil"/>
              <w:left w:val="nil"/>
              <w:bottom w:val="single" w:color="000000" w:sz="4" w:space="0"/>
              <w:right w:val="nil"/>
            </w:tcBorders>
            <w:shd w:val="clear" w:color="auto" w:fill="FFFFFF"/>
            <w:noWrap/>
            <w:vAlign w:val="center"/>
          </w:tcPr>
          <w:p w14:paraId="5075B239">
            <w:pPr>
              <w:jc w:val="center"/>
              <w:rPr>
                <w:rFonts w:hint="eastAsia" w:ascii="宋体" w:hAnsi="宋体" w:eastAsia="宋体" w:cs="宋体"/>
                <w:i w:val="0"/>
                <w:iCs w:val="0"/>
                <w:color w:val="000000"/>
                <w:sz w:val="18"/>
                <w:szCs w:val="18"/>
                <w:u w:val="none"/>
              </w:rPr>
            </w:pPr>
          </w:p>
        </w:tc>
        <w:tc>
          <w:tcPr>
            <w:tcW w:w="1497" w:type="dxa"/>
            <w:tcBorders>
              <w:top w:val="nil"/>
              <w:left w:val="nil"/>
              <w:bottom w:val="single" w:color="000000" w:sz="4" w:space="0"/>
              <w:right w:val="nil"/>
            </w:tcBorders>
            <w:shd w:val="clear" w:color="auto" w:fill="FFFFFF"/>
            <w:noWrap/>
            <w:vAlign w:val="center"/>
          </w:tcPr>
          <w:p w14:paraId="2C1AE1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1373" w:type="dxa"/>
            <w:tcBorders>
              <w:top w:val="nil"/>
              <w:left w:val="nil"/>
              <w:bottom w:val="single" w:color="000000" w:sz="4" w:space="0"/>
              <w:right w:val="nil"/>
            </w:tcBorders>
            <w:shd w:val="clear" w:color="auto" w:fill="FFFFFF"/>
            <w:noWrap/>
            <w:vAlign w:val="center"/>
          </w:tcPr>
          <w:p w14:paraId="2599EA2B">
            <w:pPr>
              <w:jc w:val="center"/>
              <w:rPr>
                <w:rFonts w:hint="eastAsia" w:ascii="宋体" w:hAnsi="宋体" w:eastAsia="宋体" w:cs="宋体"/>
                <w:i w:val="0"/>
                <w:iCs w:val="0"/>
                <w:color w:val="000000"/>
                <w:sz w:val="18"/>
                <w:szCs w:val="18"/>
                <w:u w:val="none"/>
              </w:rPr>
            </w:pPr>
          </w:p>
        </w:tc>
        <w:tc>
          <w:tcPr>
            <w:tcW w:w="1212" w:type="dxa"/>
            <w:tcBorders>
              <w:top w:val="nil"/>
              <w:left w:val="nil"/>
              <w:bottom w:val="single" w:color="000000" w:sz="4" w:space="0"/>
              <w:right w:val="nil"/>
            </w:tcBorders>
            <w:shd w:val="clear" w:color="auto" w:fill="FFFFFF"/>
            <w:noWrap/>
            <w:vAlign w:val="center"/>
          </w:tcPr>
          <w:p w14:paraId="6EA45EE6">
            <w:pPr>
              <w:jc w:val="center"/>
              <w:rPr>
                <w:rFonts w:hint="eastAsia" w:ascii="宋体" w:hAnsi="宋体" w:eastAsia="宋体" w:cs="宋体"/>
                <w:i w:val="0"/>
                <w:iCs w:val="0"/>
                <w:color w:val="000000"/>
                <w:sz w:val="18"/>
                <w:szCs w:val="18"/>
                <w:u w:val="none"/>
              </w:rPr>
            </w:pPr>
          </w:p>
        </w:tc>
        <w:tc>
          <w:tcPr>
            <w:tcW w:w="2941" w:type="dxa"/>
            <w:tcBorders>
              <w:top w:val="nil"/>
              <w:left w:val="nil"/>
              <w:bottom w:val="single" w:color="000000" w:sz="4" w:space="0"/>
              <w:right w:val="nil"/>
            </w:tcBorders>
            <w:shd w:val="clear" w:color="auto" w:fill="FFFFFF"/>
            <w:noWrap/>
            <w:vAlign w:val="center"/>
          </w:tcPr>
          <w:p w14:paraId="294B69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297A5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7994" w:type="dxa"/>
            <w:gridSpan w:val="4"/>
            <w:tcBorders>
              <w:top w:val="nil"/>
              <w:left w:val="single" w:color="000000" w:sz="4" w:space="0"/>
              <w:bottom w:val="single" w:color="000000" w:sz="4" w:space="0"/>
              <w:right w:val="single" w:color="000000" w:sz="4" w:space="0"/>
            </w:tcBorders>
            <w:shd w:val="clear" w:color="auto" w:fill="C0C0C0"/>
            <w:noWrap/>
            <w:vAlign w:val="center"/>
          </w:tcPr>
          <w:p w14:paraId="085CCBA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5526" w:type="dxa"/>
            <w:gridSpan w:val="3"/>
            <w:tcBorders>
              <w:top w:val="nil"/>
              <w:left w:val="nil"/>
              <w:bottom w:val="single" w:color="000000" w:sz="4" w:space="0"/>
              <w:right w:val="single" w:color="000000" w:sz="4" w:space="0"/>
            </w:tcBorders>
            <w:shd w:val="clear" w:color="auto" w:fill="C0C0C0"/>
            <w:noWrap w:val="0"/>
            <w:vAlign w:val="center"/>
          </w:tcPr>
          <w:p w14:paraId="3F1FD5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14:paraId="2A00E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497" w:type="dxa"/>
            <w:gridSpan w:val="3"/>
            <w:vMerge w:val="restart"/>
            <w:tcBorders>
              <w:top w:val="nil"/>
              <w:left w:val="single" w:color="000000" w:sz="4" w:space="0"/>
              <w:bottom w:val="single" w:color="000000" w:sz="4" w:space="0"/>
              <w:right w:val="single" w:color="000000" w:sz="4" w:space="0"/>
            </w:tcBorders>
            <w:shd w:val="clear" w:color="auto" w:fill="C0C0C0"/>
            <w:noWrap w:val="0"/>
            <w:vAlign w:val="center"/>
          </w:tcPr>
          <w:p w14:paraId="6362C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1497" w:type="dxa"/>
            <w:vMerge w:val="restart"/>
            <w:tcBorders>
              <w:top w:val="nil"/>
              <w:left w:val="nil"/>
              <w:bottom w:val="single" w:color="000000" w:sz="4" w:space="0"/>
              <w:right w:val="single" w:color="000000" w:sz="4" w:space="0"/>
            </w:tcBorders>
            <w:shd w:val="clear" w:color="auto" w:fill="C0C0C0"/>
            <w:noWrap/>
            <w:vAlign w:val="center"/>
          </w:tcPr>
          <w:p w14:paraId="27070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373" w:type="dxa"/>
            <w:vMerge w:val="restart"/>
            <w:tcBorders>
              <w:top w:val="nil"/>
              <w:left w:val="nil"/>
              <w:bottom w:val="single" w:color="000000" w:sz="4" w:space="0"/>
              <w:right w:val="single" w:color="000000" w:sz="4" w:space="0"/>
            </w:tcBorders>
            <w:shd w:val="clear" w:color="auto" w:fill="C0C0C0"/>
            <w:noWrap w:val="0"/>
            <w:vAlign w:val="center"/>
          </w:tcPr>
          <w:p w14:paraId="7542F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12" w:type="dxa"/>
            <w:vMerge w:val="restart"/>
            <w:tcBorders>
              <w:top w:val="nil"/>
              <w:left w:val="nil"/>
              <w:bottom w:val="single" w:color="000000" w:sz="4" w:space="0"/>
              <w:right w:val="single" w:color="000000" w:sz="4" w:space="0"/>
            </w:tcBorders>
            <w:shd w:val="clear" w:color="auto" w:fill="C0C0C0"/>
            <w:noWrap w:val="0"/>
            <w:vAlign w:val="center"/>
          </w:tcPr>
          <w:p w14:paraId="6323F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941" w:type="dxa"/>
            <w:vMerge w:val="restart"/>
            <w:tcBorders>
              <w:top w:val="nil"/>
              <w:left w:val="nil"/>
              <w:bottom w:val="single" w:color="000000" w:sz="4" w:space="0"/>
              <w:right w:val="single" w:color="000000" w:sz="4" w:space="0"/>
            </w:tcBorders>
            <w:shd w:val="clear" w:color="auto" w:fill="C0C0C0"/>
            <w:noWrap w:val="0"/>
            <w:vAlign w:val="center"/>
          </w:tcPr>
          <w:p w14:paraId="37CC33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1F9A2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497" w:type="dxa"/>
            <w:gridSpan w:val="3"/>
            <w:vMerge w:val="continue"/>
            <w:tcBorders>
              <w:top w:val="nil"/>
              <w:left w:val="single" w:color="000000" w:sz="4" w:space="0"/>
              <w:bottom w:val="single" w:color="000000" w:sz="4" w:space="0"/>
              <w:right w:val="single" w:color="000000" w:sz="4" w:space="0"/>
            </w:tcBorders>
            <w:shd w:val="clear" w:color="auto" w:fill="C0C0C0"/>
            <w:noWrap w:val="0"/>
            <w:vAlign w:val="center"/>
          </w:tcPr>
          <w:p w14:paraId="5A257C00">
            <w:pPr>
              <w:jc w:val="center"/>
              <w:rPr>
                <w:rFonts w:hint="eastAsia" w:ascii="宋体" w:hAnsi="宋体" w:eastAsia="宋体" w:cs="宋体"/>
                <w:i w:val="0"/>
                <w:iCs w:val="0"/>
                <w:color w:val="000000"/>
                <w:sz w:val="20"/>
                <w:szCs w:val="20"/>
                <w:u w:val="none"/>
              </w:rPr>
            </w:pPr>
          </w:p>
        </w:tc>
        <w:tc>
          <w:tcPr>
            <w:tcW w:w="1497" w:type="dxa"/>
            <w:vMerge w:val="continue"/>
            <w:tcBorders>
              <w:top w:val="nil"/>
              <w:left w:val="nil"/>
              <w:bottom w:val="single" w:color="000000" w:sz="4" w:space="0"/>
              <w:right w:val="single" w:color="000000" w:sz="4" w:space="0"/>
            </w:tcBorders>
            <w:shd w:val="clear" w:color="auto" w:fill="C0C0C0"/>
            <w:noWrap/>
            <w:vAlign w:val="center"/>
          </w:tcPr>
          <w:p w14:paraId="25807D3D">
            <w:pPr>
              <w:jc w:val="center"/>
              <w:rPr>
                <w:rFonts w:hint="eastAsia" w:ascii="宋体" w:hAnsi="宋体" w:eastAsia="宋体" w:cs="宋体"/>
                <w:i w:val="0"/>
                <w:iCs w:val="0"/>
                <w:color w:val="000000"/>
                <w:sz w:val="20"/>
                <w:szCs w:val="20"/>
                <w:u w:val="none"/>
              </w:rPr>
            </w:pPr>
          </w:p>
        </w:tc>
        <w:tc>
          <w:tcPr>
            <w:tcW w:w="1373" w:type="dxa"/>
            <w:vMerge w:val="continue"/>
            <w:tcBorders>
              <w:top w:val="nil"/>
              <w:left w:val="nil"/>
              <w:bottom w:val="single" w:color="000000" w:sz="4" w:space="0"/>
              <w:right w:val="single" w:color="000000" w:sz="4" w:space="0"/>
            </w:tcBorders>
            <w:shd w:val="clear" w:color="auto" w:fill="C0C0C0"/>
            <w:noWrap w:val="0"/>
            <w:vAlign w:val="center"/>
          </w:tcPr>
          <w:p w14:paraId="6B7CDD1F">
            <w:pPr>
              <w:jc w:val="center"/>
              <w:rPr>
                <w:rFonts w:hint="eastAsia" w:ascii="宋体" w:hAnsi="宋体" w:eastAsia="宋体" w:cs="宋体"/>
                <w:i w:val="0"/>
                <w:iCs w:val="0"/>
                <w:color w:val="000000"/>
                <w:sz w:val="20"/>
                <w:szCs w:val="20"/>
                <w:u w:val="none"/>
              </w:rPr>
            </w:pPr>
          </w:p>
        </w:tc>
        <w:tc>
          <w:tcPr>
            <w:tcW w:w="1212" w:type="dxa"/>
            <w:vMerge w:val="continue"/>
            <w:tcBorders>
              <w:top w:val="nil"/>
              <w:left w:val="nil"/>
              <w:bottom w:val="single" w:color="000000" w:sz="4" w:space="0"/>
              <w:right w:val="single" w:color="000000" w:sz="4" w:space="0"/>
            </w:tcBorders>
            <w:shd w:val="clear" w:color="auto" w:fill="C0C0C0"/>
            <w:noWrap w:val="0"/>
            <w:vAlign w:val="center"/>
          </w:tcPr>
          <w:p w14:paraId="2CDF8A20">
            <w:pPr>
              <w:jc w:val="center"/>
              <w:rPr>
                <w:rFonts w:hint="eastAsia" w:ascii="宋体" w:hAnsi="宋体" w:eastAsia="宋体" w:cs="宋体"/>
                <w:i w:val="0"/>
                <w:iCs w:val="0"/>
                <w:color w:val="000000"/>
                <w:sz w:val="20"/>
                <w:szCs w:val="20"/>
                <w:u w:val="none"/>
              </w:rPr>
            </w:pPr>
          </w:p>
        </w:tc>
        <w:tc>
          <w:tcPr>
            <w:tcW w:w="2941" w:type="dxa"/>
            <w:vMerge w:val="continue"/>
            <w:tcBorders>
              <w:top w:val="nil"/>
              <w:left w:val="nil"/>
              <w:bottom w:val="single" w:color="000000" w:sz="4" w:space="0"/>
              <w:right w:val="single" w:color="000000" w:sz="4" w:space="0"/>
            </w:tcBorders>
            <w:shd w:val="clear" w:color="auto" w:fill="C0C0C0"/>
            <w:noWrap w:val="0"/>
            <w:vAlign w:val="center"/>
          </w:tcPr>
          <w:p w14:paraId="7CC0E8D0">
            <w:pPr>
              <w:jc w:val="center"/>
              <w:rPr>
                <w:rFonts w:hint="eastAsia" w:ascii="宋体" w:hAnsi="宋体" w:eastAsia="宋体" w:cs="宋体"/>
                <w:i w:val="0"/>
                <w:iCs w:val="0"/>
                <w:color w:val="000000"/>
                <w:sz w:val="20"/>
                <w:szCs w:val="20"/>
                <w:u w:val="none"/>
              </w:rPr>
            </w:pPr>
          </w:p>
        </w:tc>
      </w:tr>
      <w:tr w14:paraId="13CB7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497" w:type="dxa"/>
            <w:gridSpan w:val="3"/>
            <w:vMerge w:val="continue"/>
            <w:tcBorders>
              <w:top w:val="nil"/>
              <w:left w:val="single" w:color="000000" w:sz="4" w:space="0"/>
              <w:bottom w:val="single" w:color="000000" w:sz="4" w:space="0"/>
              <w:right w:val="single" w:color="000000" w:sz="4" w:space="0"/>
            </w:tcBorders>
            <w:shd w:val="clear" w:color="auto" w:fill="C0C0C0"/>
            <w:noWrap w:val="0"/>
            <w:vAlign w:val="center"/>
          </w:tcPr>
          <w:p w14:paraId="5EF34E58">
            <w:pPr>
              <w:jc w:val="center"/>
              <w:rPr>
                <w:rFonts w:hint="eastAsia" w:ascii="宋体" w:hAnsi="宋体" w:eastAsia="宋体" w:cs="宋体"/>
                <w:i w:val="0"/>
                <w:iCs w:val="0"/>
                <w:color w:val="000000"/>
                <w:sz w:val="20"/>
                <w:szCs w:val="20"/>
                <w:u w:val="none"/>
              </w:rPr>
            </w:pPr>
          </w:p>
        </w:tc>
        <w:tc>
          <w:tcPr>
            <w:tcW w:w="1497" w:type="dxa"/>
            <w:vMerge w:val="continue"/>
            <w:tcBorders>
              <w:top w:val="nil"/>
              <w:left w:val="nil"/>
              <w:bottom w:val="single" w:color="000000" w:sz="4" w:space="0"/>
              <w:right w:val="single" w:color="000000" w:sz="4" w:space="0"/>
            </w:tcBorders>
            <w:shd w:val="clear" w:color="auto" w:fill="C0C0C0"/>
            <w:noWrap/>
            <w:vAlign w:val="center"/>
          </w:tcPr>
          <w:p w14:paraId="16480979">
            <w:pPr>
              <w:jc w:val="center"/>
              <w:rPr>
                <w:rFonts w:hint="eastAsia" w:ascii="宋体" w:hAnsi="宋体" w:eastAsia="宋体" w:cs="宋体"/>
                <w:i w:val="0"/>
                <w:iCs w:val="0"/>
                <w:color w:val="000000"/>
                <w:sz w:val="20"/>
                <w:szCs w:val="20"/>
                <w:u w:val="none"/>
              </w:rPr>
            </w:pPr>
          </w:p>
        </w:tc>
        <w:tc>
          <w:tcPr>
            <w:tcW w:w="1373" w:type="dxa"/>
            <w:vMerge w:val="continue"/>
            <w:tcBorders>
              <w:top w:val="nil"/>
              <w:left w:val="nil"/>
              <w:bottom w:val="single" w:color="000000" w:sz="4" w:space="0"/>
              <w:right w:val="single" w:color="000000" w:sz="4" w:space="0"/>
            </w:tcBorders>
            <w:shd w:val="clear" w:color="auto" w:fill="C0C0C0"/>
            <w:noWrap w:val="0"/>
            <w:vAlign w:val="center"/>
          </w:tcPr>
          <w:p w14:paraId="272EFEB8">
            <w:pPr>
              <w:jc w:val="center"/>
              <w:rPr>
                <w:rFonts w:hint="eastAsia" w:ascii="宋体" w:hAnsi="宋体" w:eastAsia="宋体" w:cs="宋体"/>
                <w:i w:val="0"/>
                <w:iCs w:val="0"/>
                <w:color w:val="000000"/>
                <w:sz w:val="20"/>
                <w:szCs w:val="20"/>
                <w:u w:val="none"/>
              </w:rPr>
            </w:pPr>
          </w:p>
        </w:tc>
        <w:tc>
          <w:tcPr>
            <w:tcW w:w="1212" w:type="dxa"/>
            <w:vMerge w:val="continue"/>
            <w:tcBorders>
              <w:top w:val="nil"/>
              <w:left w:val="nil"/>
              <w:bottom w:val="single" w:color="000000" w:sz="4" w:space="0"/>
              <w:right w:val="single" w:color="000000" w:sz="4" w:space="0"/>
            </w:tcBorders>
            <w:shd w:val="clear" w:color="auto" w:fill="C0C0C0"/>
            <w:noWrap w:val="0"/>
            <w:vAlign w:val="center"/>
          </w:tcPr>
          <w:p w14:paraId="53D2B8B9">
            <w:pPr>
              <w:jc w:val="center"/>
              <w:rPr>
                <w:rFonts w:hint="eastAsia" w:ascii="宋体" w:hAnsi="宋体" w:eastAsia="宋体" w:cs="宋体"/>
                <w:i w:val="0"/>
                <w:iCs w:val="0"/>
                <w:color w:val="000000"/>
                <w:sz w:val="20"/>
                <w:szCs w:val="20"/>
                <w:u w:val="none"/>
              </w:rPr>
            </w:pPr>
          </w:p>
        </w:tc>
        <w:tc>
          <w:tcPr>
            <w:tcW w:w="2941" w:type="dxa"/>
            <w:vMerge w:val="continue"/>
            <w:tcBorders>
              <w:top w:val="nil"/>
              <w:left w:val="nil"/>
              <w:bottom w:val="single" w:color="000000" w:sz="4" w:space="0"/>
              <w:right w:val="single" w:color="000000" w:sz="4" w:space="0"/>
            </w:tcBorders>
            <w:shd w:val="clear" w:color="auto" w:fill="C0C0C0"/>
            <w:noWrap w:val="0"/>
            <w:vAlign w:val="center"/>
          </w:tcPr>
          <w:p w14:paraId="25F5073D">
            <w:pPr>
              <w:jc w:val="center"/>
              <w:rPr>
                <w:rFonts w:hint="eastAsia" w:ascii="宋体" w:hAnsi="宋体" w:eastAsia="宋体" w:cs="宋体"/>
                <w:i w:val="0"/>
                <w:iCs w:val="0"/>
                <w:color w:val="000000"/>
                <w:sz w:val="20"/>
                <w:szCs w:val="20"/>
                <w:u w:val="none"/>
              </w:rPr>
            </w:pPr>
          </w:p>
        </w:tc>
      </w:tr>
      <w:tr w14:paraId="76DBD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7994" w:type="dxa"/>
            <w:gridSpan w:val="4"/>
            <w:tcBorders>
              <w:top w:val="nil"/>
              <w:left w:val="single" w:color="000000" w:sz="4" w:space="0"/>
              <w:bottom w:val="single" w:color="000000" w:sz="4" w:space="0"/>
              <w:right w:val="single" w:color="000000" w:sz="4" w:space="0"/>
            </w:tcBorders>
            <w:shd w:val="clear" w:color="auto" w:fill="C0C0C0"/>
            <w:noWrap/>
            <w:vAlign w:val="center"/>
          </w:tcPr>
          <w:p w14:paraId="19D338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373" w:type="dxa"/>
            <w:tcBorders>
              <w:top w:val="nil"/>
              <w:left w:val="nil"/>
              <w:bottom w:val="single" w:color="000000" w:sz="4" w:space="0"/>
              <w:right w:val="single" w:color="000000" w:sz="4" w:space="0"/>
            </w:tcBorders>
            <w:shd w:val="clear" w:color="auto" w:fill="C0C0C0"/>
            <w:noWrap/>
            <w:vAlign w:val="center"/>
          </w:tcPr>
          <w:p w14:paraId="44CB7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2" w:type="dxa"/>
            <w:tcBorders>
              <w:top w:val="nil"/>
              <w:left w:val="nil"/>
              <w:bottom w:val="single" w:color="000000" w:sz="4" w:space="0"/>
              <w:right w:val="single" w:color="000000" w:sz="4" w:space="0"/>
            </w:tcBorders>
            <w:shd w:val="clear" w:color="auto" w:fill="C0C0C0"/>
            <w:noWrap/>
            <w:vAlign w:val="center"/>
          </w:tcPr>
          <w:p w14:paraId="05A101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41" w:type="dxa"/>
            <w:tcBorders>
              <w:top w:val="nil"/>
              <w:left w:val="nil"/>
              <w:bottom w:val="single" w:color="000000" w:sz="4" w:space="0"/>
              <w:right w:val="single" w:color="000000" w:sz="4" w:space="0"/>
            </w:tcBorders>
            <w:shd w:val="clear" w:color="auto" w:fill="C0C0C0"/>
            <w:noWrap/>
            <w:vAlign w:val="center"/>
          </w:tcPr>
          <w:p w14:paraId="12912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6A50F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7994" w:type="dxa"/>
            <w:gridSpan w:val="4"/>
            <w:tcBorders>
              <w:top w:val="nil"/>
              <w:left w:val="single" w:color="000000" w:sz="4" w:space="0"/>
              <w:bottom w:val="single" w:color="000000" w:sz="4" w:space="0"/>
              <w:right w:val="single" w:color="000000" w:sz="4" w:space="0"/>
            </w:tcBorders>
            <w:shd w:val="clear" w:color="auto" w:fill="C0C0C0"/>
            <w:noWrap/>
            <w:vAlign w:val="center"/>
          </w:tcPr>
          <w:p w14:paraId="2C99D6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373" w:type="dxa"/>
            <w:tcBorders>
              <w:top w:val="nil"/>
              <w:left w:val="nil"/>
              <w:bottom w:val="single" w:color="000000" w:sz="4" w:space="0"/>
              <w:right w:val="single" w:color="000000" w:sz="4" w:space="0"/>
            </w:tcBorders>
            <w:shd w:val="clear" w:color="auto" w:fill="FFFFFF"/>
            <w:noWrap/>
            <w:vAlign w:val="center"/>
          </w:tcPr>
          <w:p w14:paraId="0A267270">
            <w:pPr>
              <w:jc w:val="right"/>
              <w:rPr>
                <w:rFonts w:hint="eastAsia" w:ascii="宋体" w:hAnsi="宋体" w:eastAsia="宋体" w:cs="宋体"/>
                <w:b/>
                <w:bCs/>
                <w:i w:val="0"/>
                <w:iCs w:val="0"/>
                <w:color w:val="000000"/>
                <w:sz w:val="20"/>
                <w:szCs w:val="20"/>
                <w:u w:val="none"/>
              </w:rPr>
            </w:pPr>
            <w:r>
              <w:rPr>
                <w:rFonts w:hint="eastAsia" w:ascii="宋体" w:hAnsi="宋体" w:cs="宋体"/>
                <w:i w:val="0"/>
                <w:iCs w:val="0"/>
                <w:color w:val="000000"/>
                <w:sz w:val="20"/>
                <w:szCs w:val="20"/>
                <w:u w:val="none"/>
                <w:lang w:val="en-US" w:eastAsia="zh-CN"/>
              </w:rPr>
              <w:t>0.00</w:t>
            </w:r>
          </w:p>
        </w:tc>
        <w:tc>
          <w:tcPr>
            <w:tcW w:w="1212" w:type="dxa"/>
            <w:tcBorders>
              <w:top w:val="nil"/>
              <w:left w:val="nil"/>
              <w:bottom w:val="single" w:color="000000" w:sz="4" w:space="0"/>
              <w:right w:val="single" w:color="000000" w:sz="4" w:space="0"/>
            </w:tcBorders>
            <w:shd w:val="clear" w:color="auto" w:fill="FFFFFF"/>
            <w:noWrap/>
            <w:vAlign w:val="center"/>
          </w:tcPr>
          <w:p w14:paraId="34E9B89C">
            <w:pPr>
              <w:jc w:val="right"/>
              <w:rPr>
                <w:rFonts w:hint="eastAsia" w:ascii="宋体" w:hAnsi="宋体" w:eastAsia="宋体" w:cs="宋体"/>
                <w:b/>
                <w:bCs/>
                <w:i w:val="0"/>
                <w:iCs w:val="0"/>
                <w:color w:val="000000"/>
                <w:sz w:val="20"/>
                <w:szCs w:val="20"/>
                <w:u w:val="none"/>
              </w:rPr>
            </w:pPr>
            <w:r>
              <w:rPr>
                <w:rFonts w:hint="eastAsia" w:ascii="宋体" w:hAnsi="宋体" w:cs="宋体"/>
                <w:i w:val="0"/>
                <w:iCs w:val="0"/>
                <w:color w:val="000000"/>
                <w:sz w:val="20"/>
                <w:szCs w:val="20"/>
                <w:u w:val="none"/>
                <w:lang w:val="en-US" w:eastAsia="zh-CN"/>
              </w:rPr>
              <w:t>0.00</w:t>
            </w:r>
          </w:p>
        </w:tc>
        <w:tc>
          <w:tcPr>
            <w:tcW w:w="2941" w:type="dxa"/>
            <w:tcBorders>
              <w:top w:val="nil"/>
              <w:left w:val="nil"/>
              <w:bottom w:val="single" w:color="000000" w:sz="4" w:space="0"/>
              <w:right w:val="single" w:color="000000" w:sz="4" w:space="0"/>
            </w:tcBorders>
            <w:shd w:val="clear" w:color="auto" w:fill="FFFFFF"/>
            <w:noWrap/>
            <w:vAlign w:val="center"/>
          </w:tcPr>
          <w:p w14:paraId="05A1934F">
            <w:pPr>
              <w:jc w:val="right"/>
              <w:rPr>
                <w:rFonts w:hint="eastAsia" w:ascii="宋体" w:hAnsi="宋体" w:eastAsia="宋体" w:cs="宋体"/>
                <w:b/>
                <w:bCs/>
                <w:i w:val="0"/>
                <w:iCs w:val="0"/>
                <w:color w:val="000000"/>
                <w:sz w:val="20"/>
                <w:szCs w:val="20"/>
                <w:u w:val="none"/>
              </w:rPr>
            </w:pPr>
            <w:r>
              <w:rPr>
                <w:rFonts w:hint="eastAsia" w:ascii="宋体" w:hAnsi="宋体" w:cs="宋体"/>
                <w:i w:val="0"/>
                <w:iCs w:val="0"/>
                <w:color w:val="000000"/>
                <w:sz w:val="20"/>
                <w:szCs w:val="20"/>
                <w:u w:val="none"/>
                <w:lang w:val="en-US" w:eastAsia="zh-CN"/>
              </w:rPr>
              <w:t>0.00</w:t>
            </w:r>
          </w:p>
        </w:tc>
      </w:tr>
      <w:tr w14:paraId="46ACD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6497" w:type="dxa"/>
            <w:gridSpan w:val="3"/>
            <w:tcBorders>
              <w:top w:val="nil"/>
              <w:left w:val="single" w:color="000000" w:sz="4" w:space="0"/>
              <w:bottom w:val="single" w:color="000000" w:sz="4" w:space="0"/>
              <w:right w:val="single" w:color="000000" w:sz="4" w:space="0"/>
            </w:tcBorders>
            <w:shd w:val="clear" w:color="auto" w:fill="FFFFFF"/>
            <w:noWrap/>
            <w:vAlign w:val="center"/>
          </w:tcPr>
          <w:p w14:paraId="1E1EB4BA">
            <w:pPr>
              <w:jc w:val="left"/>
              <w:rPr>
                <w:rFonts w:hint="eastAsia" w:ascii="宋体" w:hAnsi="宋体" w:eastAsia="宋体" w:cs="宋体"/>
                <w:i w:val="0"/>
                <w:iCs w:val="0"/>
                <w:color w:val="000000"/>
                <w:sz w:val="20"/>
                <w:szCs w:val="20"/>
                <w:u w:val="none"/>
              </w:rPr>
            </w:pPr>
          </w:p>
        </w:tc>
        <w:tc>
          <w:tcPr>
            <w:tcW w:w="1497" w:type="dxa"/>
            <w:tcBorders>
              <w:top w:val="nil"/>
              <w:left w:val="nil"/>
              <w:bottom w:val="single" w:color="000000" w:sz="4" w:space="0"/>
              <w:right w:val="single" w:color="000000" w:sz="4" w:space="0"/>
            </w:tcBorders>
            <w:shd w:val="clear" w:color="auto" w:fill="CCFFFF"/>
            <w:noWrap/>
            <w:vAlign w:val="center"/>
          </w:tcPr>
          <w:p w14:paraId="12403148">
            <w:pPr>
              <w:jc w:val="left"/>
              <w:rPr>
                <w:rFonts w:hint="eastAsia" w:ascii="宋体" w:hAnsi="宋体" w:eastAsia="宋体" w:cs="宋体"/>
                <w:i w:val="0"/>
                <w:iCs w:val="0"/>
                <w:color w:val="000000"/>
                <w:sz w:val="20"/>
                <w:szCs w:val="20"/>
                <w:u w:val="none"/>
              </w:rPr>
            </w:pPr>
          </w:p>
        </w:tc>
        <w:tc>
          <w:tcPr>
            <w:tcW w:w="1373" w:type="dxa"/>
            <w:tcBorders>
              <w:top w:val="nil"/>
              <w:left w:val="nil"/>
              <w:bottom w:val="single" w:color="000000" w:sz="4" w:space="0"/>
              <w:right w:val="single" w:color="000000" w:sz="4" w:space="0"/>
            </w:tcBorders>
            <w:shd w:val="clear" w:color="auto" w:fill="FFFFFF"/>
            <w:noWrap/>
            <w:vAlign w:val="center"/>
          </w:tcPr>
          <w:p w14:paraId="4290346A">
            <w:pPr>
              <w:jc w:val="right"/>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0.00</w:t>
            </w:r>
          </w:p>
        </w:tc>
        <w:tc>
          <w:tcPr>
            <w:tcW w:w="1212" w:type="dxa"/>
            <w:tcBorders>
              <w:top w:val="nil"/>
              <w:left w:val="nil"/>
              <w:bottom w:val="single" w:color="000000" w:sz="4" w:space="0"/>
              <w:right w:val="single" w:color="000000" w:sz="4" w:space="0"/>
            </w:tcBorders>
            <w:shd w:val="clear" w:color="auto" w:fill="FFFFFF"/>
            <w:noWrap/>
            <w:vAlign w:val="center"/>
          </w:tcPr>
          <w:p w14:paraId="0B1D8E2E">
            <w:pPr>
              <w:jc w:val="right"/>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0.00</w:t>
            </w:r>
          </w:p>
        </w:tc>
        <w:tc>
          <w:tcPr>
            <w:tcW w:w="2941" w:type="dxa"/>
            <w:tcBorders>
              <w:top w:val="nil"/>
              <w:left w:val="nil"/>
              <w:bottom w:val="single" w:color="000000" w:sz="4" w:space="0"/>
              <w:right w:val="single" w:color="000000" w:sz="4" w:space="0"/>
            </w:tcBorders>
            <w:shd w:val="clear" w:color="auto" w:fill="FFFFFF"/>
            <w:noWrap/>
            <w:vAlign w:val="center"/>
          </w:tcPr>
          <w:p w14:paraId="27DB3C5F">
            <w:pPr>
              <w:jc w:val="right"/>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0.00</w:t>
            </w:r>
          </w:p>
        </w:tc>
      </w:tr>
      <w:tr w14:paraId="2CC03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3520" w:type="dxa"/>
            <w:gridSpan w:val="7"/>
            <w:tcBorders>
              <w:top w:val="nil"/>
              <w:left w:val="nil"/>
              <w:bottom w:val="nil"/>
              <w:right w:val="nil"/>
            </w:tcBorders>
            <w:shd w:val="clear" w:color="auto" w:fill="FFFFFF"/>
            <w:noWrap/>
            <w:vAlign w:val="center"/>
          </w:tcPr>
          <w:p w14:paraId="5DA5F9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注：本表反映部门本年度国有资本经营预算财政拨款支出情况。 </w:t>
            </w:r>
          </w:p>
          <w:p w14:paraId="5BFB9F10">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我部门无此项内容，本表无数据。</w:t>
            </w:r>
          </w:p>
        </w:tc>
      </w:tr>
    </w:tbl>
    <w:p w14:paraId="75AD6EF9">
      <w:pPr>
        <w:pStyle w:val="17"/>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center"/>
        <w:rPr>
          <w:rFonts w:ascii="宋体" w:hAnsi="宋体" w:eastAsia="宋体" w:cs="宋体"/>
          <w:kern w:val="0"/>
          <w:sz w:val="24"/>
          <w:szCs w:val="24"/>
          <w:lang w:val="en-US" w:eastAsia="zh-CN" w:bidi="ar-SA"/>
        </w:rPr>
      </w:pPr>
    </w:p>
    <w:p w14:paraId="40D4CE04">
      <w:pPr>
        <w:pStyle w:val="6"/>
        <w:keepNext w:val="0"/>
        <w:keepLines w:val="0"/>
        <w:pageBreakBefore w:val="0"/>
        <w:widowControl/>
        <w:kinsoku/>
        <w:overflowPunct/>
        <w:topLinePunct w:val="0"/>
        <w:autoSpaceDE/>
        <w:autoSpaceDN/>
        <w:bidi w:val="0"/>
        <w:adjustRightInd/>
        <w:spacing w:before="40" w:beforeAutospacing="0" w:after="0" w:afterAutospacing="0" w:line="585" w:lineRule="atLeast"/>
        <w:textAlignment w:val="auto"/>
        <w:rPr>
          <w:rStyle w:val="9"/>
          <w:rFonts w:hint="eastAsia" w:ascii="宋体" w:hAnsi="宋体" w:eastAsia="宋体" w:cs="宋体"/>
          <w:color w:val="333333"/>
          <w:highlight w:val="none"/>
          <w:shd w:val="clear" w:color="auto" w:fill="FFFFFF"/>
        </w:rPr>
      </w:pPr>
    </w:p>
    <w:p w14:paraId="7EFEAA92">
      <w:pPr>
        <w:pStyle w:val="6"/>
        <w:keepNext w:val="0"/>
        <w:keepLines w:val="0"/>
        <w:pageBreakBefore w:val="0"/>
        <w:widowControl/>
        <w:kinsoku/>
        <w:overflowPunct/>
        <w:topLinePunct w:val="0"/>
        <w:autoSpaceDE/>
        <w:autoSpaceDN/>
        <w:bidi w:val="0"/>
        <w:adjustRightInd/>
        <w:spacing w:before="40" w:beforeAutospacing="0" w:after="0" w:afterAutospacing="0" w:line="585" w:lineRule="atLeast"/>
        <w:textAlignment w:val="auto"/>
        <w:rPr>
          <w:rStyle w:val="9"/>
          <w:rFonts w:hint="eastAsia" w:ascii="宋体" w:hAnsi="宋体" w:eastAsia="宋体" w:cs="宋体"/>
          <w:color w:val="333333"/>
          <w:highlight w:val="none"/>
          <w:shd w:val="clear" w:color="auto" w:fill="FFFFFF"/>
        </w:rPr>
      </w:pPr>
    </w:p>
    <w:p w14:paraId="6404C8D0">
      <w:pPr>
        <w:pStyle w:val="6"/>
        <w:keepNext w:val="0"/>
        <w:keepLines w:val="0"/>
        <w:pageBreakBefore w:val="0"/>
        <w:widowControl/>
        <w:kinsoku/>
        <w:overflowPunct/>
        <w:topLinePunct w:val="0"/>
        <w:autoSpaceDE/>
        <w:autoSpaceDN/>
        <w:bidi w:val="0"/>
        <w:adjustRightInd/>
        <w:spacing w:before="40" w:beforeAutospacing="0" w:after="0" w:afterAutospacing="0" w:line="585" w:lineRule="atLeast"/>
        <w:textAlignment w:val="auto"/>
        <w:rPr>
          <w:rStyle w:val="9"/>
          <w:rFonts w:hint="eastAsia" w:ascii="宋体" w:hAnsi="宋体" w:eastAsia="宋体" w:cs="宋体"/>
          <w:color w:val="333333"/>
          <w:highlight w:val="none"/>
          <w:shd w:val="clear" w:color="auto" w:fill="FFFFFF"/>
        </w:rPr>
      </w:pPr>
    </w:p>
    <w:p w14:paraId="7C12C366">
      <w:pPr>
        <w:pStyle w:val="6"/>
        <w:keepNext w:val="0"/>
        <w:keepLines w:val="0"/>
        <w:pageBreakBefore w:val="0"/>
        <w:widowControl/>
        <w:kinsoku/>
        <w:overflowPunct/>
        <w:topLinePunct w:val="0"/>
        <w:autoSpaceDE/>
        <w:autoSpaceDN/>
        <w:bidi w:val="0"/>
        <w:adjustRightInd/>
        <w:spacing w:before="40" w:beforeAutospacing="0" w:after="0" w:afterAutospacing="0" w:line="585" w:lineRule="atLeast"/>
        <w:textAlignment w:val="auto"/>
        <w:rPr>
          <w:rStyle w:val="9"/>
          <w:rFonts w:hint="eastAsia" w:ascii="宋体" w:hAnsi="宋体" w:eastAsia="宋体" w:cs="宋体"/>
          <w:color w:val="333333"/>
          <w:highlight w:val="none"/>
          <w:shd w:val="clear" w:color="auto" w:fill="FFFFFF"/>
        </w:rPr>
      </w:pPr>
    </w:p>
    <w:p w14:paraId="0BA789E2">
      <w:pPr>
        <w:pStyle w:val="6"/>
        <w:keepNext w:val="0"/>
        <w:keepLines w:val="0"/>
        <w:pageBreakBefore w:val="0"/>
        <w:widowControl/>
        <w:kinsoku/>
        <w:overflowPunct/>
        <w:topLinePunct w:val="0"/>
        <w:autoSpaceDE/>
        <w:autoSpaceDN/>
        <w:bidi w:val="0"/>
        <w:adjustRightInd/>
        <w:spacing w:before="40" w:beforeAutospacing="0" w:after="0" w:afterAutospacing="0" w:line="585" w:lineRule="atLeast"/>
        <w:textAlignment w:val="auto"/>
        <w:rPr>
          <w:rStyle w:val="9"/>
          <w:rFonts w:hint="eastAsia" w:ascii="宋体" w:hAnsi="宋体" w:eastAsia="宋体" w:cs="宋体"/>
          <w:color w:val="333333"/>
          <w:highlight w:val="none"/>
          <w:shd w:val="clear" w:color="auto" w:fill="FFFFFF"/>
        </w:rPr>
      </w:pPr>
    </w:p>
    <w:p w14:paraId="3EBDACA8">
      <w:pPr>
        <w:pStyle w:val="6"/>
        <w:keepNext w:val="0"/>
        <w:keepLines w:val="0"/>
        <w:pageBreakBefore w:val="0"/>
        <w:widowControl/>
        <w:kinsoku/>
        <w:overflowPunct/>
        <w:topLinePunct w:val="0"/>
        <w:autoSpaceDE/>
        <w:autoSpaceDN/>
        <w:bidi w:val="0"/>
        <w:adjustRightInd/>
        <w:spacing w:before="40" w:beforeAutospacing="0" w:after="0" w:afterAutospacing="0" w:line="585" w:lineRule="atLeast"/>
        <w:textAlignment w:val="auto"/>
        <w:rPr>
          <w:rStyle w:val="9"/>
          <w:rFonts w:hint="eastAsia" w:ascii="宋体" w:hAnsi="宋体" w:eastAsia="宋体" w:cs="宋体"/>
          <w:color w:val="333333"/>
          <w:highlight w:val="none"/>
          <w:shd w:val="clear" w:color="auto" w:fill="FFFFFF"/>
        </w:rPr>
      </w:pPr>
      <w:r>
        <w:rPr>
          <w:rStyle w:val="9"/>
          <w:rFonts w:hint="eastAsia" w:ascii="宋体" w:hAnsi="宋体" w:eastAsia="宋体" w:cs="宋体"/>
          <w:color w:val="333333"/>
          <w:highlight w:val="none"/>
          <w:shd w:val="clear" w:color="auto" w:fill="FFFFFF"/>
        </w:rPr>
        <w:t>第三部分：</w:t>
      </w:r>
      <w:r>
        <w:rPr>
          <w:rStyle w:val="9"/>
          <w:rFonts w:hint="eastAsia" w:ascii="宋体" w:hAnsi="宋体" w:eastAsia="宋体" w:cs="宋体"/>
          <w:color w:val="333333"/>
          <w:highlight w:val="none"/>
          <w:shd w:val="clear" w:color="auto" w:fill="FFFFFF"/>
          <w:lang w:eastAsia="zh-CN"/>
        </w:rPr>
        <w:t>2021年</w:t>
      </w:r>
      <w:r>
        <w:rPr>
          <w:rStyle w:val="9"/>
          <w:rFonts w:hint="eastAsia" w:ascii="宋体" w:hAnsi="宋体" w:eastAsia="宋体" w:cs="宋体"/>
          <w:color w:val="333333"/>
          <w:highlight w:val="none"/>
          <w:shd w:val="clear" w:color="auto" w:fill="FFFFFF"/>
        </w:rPr>
        <w:t>部门</w:t>
      </w:r>
      <w:r>
        <w:rPr>
          <w:rStyle w:val="9"/>
          <w:rFonts w:hint="eastAsia" w:ascii="宋体" w:hAnsi="宋体" w:eastAsia="宋体" w:cs="宋体"/>
          <w:color w:val="333333"/>
          <w:highlight w:val="none"/>
          <w:shd w:val="clear" w:color="auto" w:fill="FFFFFF"/>
          <w:lang w:eastAsia="zh-CN"/>
        </w:rPr>
        <w:t>决算</w:t>
      </w:r>
      <w:r>
        <w:rPr>
          <w:rStyle w:val="9"/>
          <w:rFonts w:hint="eastAsia" w:ascii="宋体" w:hAnsi="宋体" w:eastAsia="宋体" w:cs="宋体"/>
          <w:color w:val="333333"/>
          <w:highlight w:val="none"/>
          <w:shd w:val="clear" w:color="auto" w:fill="FFFFFF"/>
        </w:rPr>
        <w:t>情况说明</w:t>
      </w:r>
    </w:p>
    <w:p w14:paraId="70744569">
      <w:pPr>
        <w:keepNext w:val="0"/>
        <w:keepLines w:val="0"/>
        <w:pageBreakBefore w:val="0"/>
        <w:widowControl/>
        <w:shd w:val="clear" w:color="auto" w:fill="FFFFFF"/>
        <w:kinsoku/>
        <w:overflowPunct/>
        <w:topLinePunct w:val="0"/>
        <w:autoSpaceDE/>
        <w:autoSpaceDN/>
        <w:bidi w:val="0"/>
        <w:adjustRightInd/>
        <w:spacing w:before="40"/>
        <w:ind w:firstLine="480"/>
        <w:jc w:val="left"/>
        <w:textAlignment w:val="auto"/>
        <w:rPr>
          <w:rFonts w:hint="eastAsia" w:ascii="宋体" w:hAnsi="宋体" w:eastAsia="宋体" w:cs="宋体"/>
          <w:b/>
          <w:bCs/>
          <w:sz w:val="28"/>
          <w:szCs w:val="28"/>
          <w:highlight w:val="none"/>
        </w:rPr>
      </w:pPr>
    </w:p>
    <w:p w14:paraId="3DA44704">
      <w:pPr>
        <w:keepNext w:val="0"/>
        <w:keepLines w:val="0"/>
        <w:pageBreakBefore w:val="0"/>
        <w:widowControl/>
        <w:shd w:val="clear" w:color="auto" w:fill="FFFFFF"/>
        <w:kinsoku/>
        <w:overflowPunct/>
        <w:topLinePunct w:val="0"/>
        <w:autoSpaceDE/>
        <w:autoSpaceDN/>
        <w:bidi w:val="0"/>
        <w:adjustRightInd/>
        <w:spacing w:before="40"/>
        <w:ind w:firstLine="480"/>
        <w:jc w:val="left"/>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（一）预算</w:t>
      </w:r>
      <w:r>
        <w:rPr>
          <w:rFonts w:hint="eastAsia" w:ascii="宋体" w:hAnsi="宋体" w:eastAsia="宋体" w:cs="宋体"/>
          <w:b/>
          <w:bCs/>
          <w:sz w:val="28"/>
          <w:szCs w:val="28"/>
          <w:highlight w:val="none"/>
          <w:lang w:eastAsia="zh-CN"/>
        </w:rPr>
        <w:t>执行</w:t>
      </w:r>
      <w:r>
        <w:rPr>
          <w:rFonts w:hint="eastAsia" w:ascii="宋体" w:hAnsi="宋体" w:eastAsia="宋体" w:cs="宋体"/>
          <w:b/>
          <w:bCs/>
          <w:sz w:val="28"/>
          <w:szCs w:val="28"/>
          <w:highlight w:val="none"/>
        </w:rPr>
        <w:t>情况。</w:t>
      </w:r>
    </w:p>
    <w:p w14:paraId="680F1C0E">
      <w:pPr>
        <w:keepNext w:val="0"/>
        <w:keepLines w:val="0"/>
        <w:pageBreakBefore w:val="0"/>
        <w:widowControl/>
        <w:shd w:val="clear" w:color="auto" w:fill="FFFFFF"/>
        <w:kinsoku/>
        <w:overflowPunct/>
        <w:topLinePunct w:val="0"/>
        <w:autoSpaceDE/>
        <w:autoSpaceDN/>
        <w:bidi w:val="0"/>
        <w:adjustRightInd/>
        <w:spacing w:before="40"/>
        <w:ind w:firstLine="480"/>
        <w:jc w:val="left"/>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年初根据上一年度人员情况确认财政下拨预算数为1077.36万元，(人员经费823.68万元，公用经费253.68万元)，全年实际支出2051.78万元(其中人员经费1151.1万元，公用经费900.68万元)增长97.44%。2020年实际支出数为1485.94万，增加565.84万元；原因是2021年机构改革后，由财政资金保障的区城管及工商局人员调入8人(其中2人退休)，新招入职事业编制人员7人</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2020年8月社区干部工资薪金上调，87名人均涨幅1000元/月，2021年支出数含2020年度8-12月份增资额</w:t>
      </w:r>
      <w:r>
        <w:rPr>
          <w:rFonts w:hint="eastAsia" w:ascii="宋体" w:hAnsi="宋体" w:cs="宋体"/>
          <w:sz w:val="28"/>
          <w:szCs w:val="28"/>
          <w:highlight w:val="none"/>
          <w:lang w:eastAsia="zh-CN"/>
        </w:rPr>
        <w:t>。</w:t>
      </w:r>
    </w:p>
    <w:p w14:paraId="518B5E66">
      <w:pPr>
        <w:keepNext w:val="0"/>
        <w:keepLines w:val="0"/>
        <w:pageBreakBefore w:val="0"/>
        <w:widowControl/>
        <w:shd w:val="clear" w:color="auto" w:fill="FFFFFF"/>
        <w:kinsoku/>
        <w:overflowPunct/>
        <w:topLinePunct w:val="0"/>
        <w:autoSpaceDE/>
        <w:autoSpaceDN/>
        <w:bidi w:val="0"/>
        <w:adjustRightInd/>
        <w:spacing w:before="40"/>
        <w:ind w:firstLine="48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收入支出预算执行情况。</w:t>
      </w:r>
    </w:p>
    <w:p w14:paraId="002F9A66">
      <w:pPr>
        <w:keepNext w:val="0"/>
        <w:keepLines w:val="0"/>
        <w:pageBreakBefore w:val="0"/>
        <w:widowControl/>
        <w:shd w:val="clear" w:color="auto" w:fill="FFFFFF"/>
        <w:kinsoku/>
        <w:overflowPunct/>
        <w:topLinePunct w:val="0"/>
        <w:autoSpaceDE/>
        <w:autoSpaceDN/>
        <w:bidi w:val="0"/>
        <w:adjustRightInd/>
        <w:spacing w:before="40"/>
        <w:ind w:firstLine="48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本年实际财政拨款收入2051.78万，本年实际支出2051.78万，收支一致， </w:t>
      </w:r>
    </w:p>
    <w:p w14:paraId="0C5F8F93">
      <w:pPr>
        <w:keepNext w:val="0"/>
        <w:keepLines w:val="0"/>
        <w:pageBreakBefore w:val="0"/>
        <w:widowControl/>
        <w:shd w:val="clear" w:color="auto" w:fill="FFFFFF"/>
        <w:kinsoku/>
        <w:overflowPunct/>
        <w:topLinePunct w:val="0"/>
        <w:autoSpaceDE/>
        <w:autoSpaceDN/>
        <w:bidi w:val="0"/>
        <w:adjustRightInd/>
        <w:spacing w:before="40"/>
        <w:ind w:firstLine="48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收入支出与预算对比分析。</w:t>
      </w:r>
    </w:p>
    <w:p w14:paraId="39FF1374">
      <w:pPr>
        <w:widowControl/>
        <w:shd w:val="clear" w:color="auto" w:fill="FFFFFF"/>
        <w:ind w:firstLine="48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Theme="minorEastAsia" w:hAnsiTheme="minorEastAsia" w:eastAsiaTheme="minorEastAsia" w:cstheme="minorEastAsia"/>
          <w:sz w:val="28"/>
          <w:szCs w:val="28"/>
        </w:rPr>
        <w:t>收入支出与预算对比分析。</w:t>
      </w:r>
    </w:p>
    <w:p w14:paraId="6841D5BE">
      <w:pPr>
        <w:keepNext w:val="0"/>
        <w:keepLines w:val="0"/>
        <w:pageBreakBefore w:val="0"/>
        <w:widowControl/>
        <w:shd w:val="clear" w:color="auto" w:fill="FFFFFF"/>
        <w:kinsoku/>
        <w:overflowPunct/>
        <w:topLinePunct w:val="0"/>
        <w:autoSpaceDE/>
        <w:autoSpaceDN/>
        <w:bidi w:val="0"/>
        <w:adjustRightInd/>
        <w:spacing w:before="40"/>
        <w:ind w:firstLine="480"/>
        <w:jc w:val="left"/>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2021年预算数为1077.36万元，决算数为2051.78万元</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其中</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2021年人员经费预算823.67万元</w:t>
      </w:r>
      <w:r>
        <w:rPr>
          <w:rFonts w:hint="eastAsia" w:asciiTheme="minorEastAsia" w:hAnsiTheme="minorEastAsia" w:eastAsiaTheme="minorEastAsia" w:cstheme="minorEastAsia"/>
          <w:sz w:val="28"/>
          <w:szCs w:val="28"/>
          <w:highlight w:val="none"/>
          <w:lang w:val="en-US" w:eastAsia="zh-CN"/>
        </w:rPr>
        <w:t>（含工资福利支出、对个人及家庭补助支出）</w:t>
      </w:r>
      <w:r>
        <w:rPr>
          <w:rFonts w:hint="eastAsia" w:ascii="宋体" w:hAnsi="宋体" w:cs="宋体"/>
          <w:sz w:val="28"/>
          <w:szCs w:val="28"/>
          <w:highlight w:val="none"/>
          <w:lang w:val="en-US" w:eastAsia="zh-CN"/>
        </w:rPr>
        <w:t>，2021年实际</w:t>
      </w:r>
      <w:r>
        <w:rPr>
          <w:rFonts w:hint="eastAsia" w:ascii="宋体" w:hAnsi="宋体" w:eastAsia="宋体" w:cs="宋体"/>
          <w:sz w:val="28"/>
          <w:szCs w:val="28"/>
          <w:highlight w:val="none"/>
        </w:rPr>
        <w:t>人员经费</w:t>
      </w:r>
      <w:r>
        <w:rPr>
          <w:rFonts w:hint="eastAsia" w:ascii="宋体" w:hAnsi="宋体" w:cs="宋体"/>
          <w:sz w:val="28"/>
          <w:szCs w:val="28"/>
          <w:highlight w:val="none"/>
          <w:lang w:eastAsia="zh-CN"/>
        </w:rPr>
        <w:t>支出</w:t>
      </w:r>
      <w:r>
        <w:rPr>
          <w:rFonts w:hint="eastAsia" w:ascii="宋体" w:hAnsi="宋体" w:eastAsia="宋体" w:cs="宋体"/>
          <w:sz w:val="28"/>
          <w:szCs w:val="28"/>
          <w:highlight w:val="none"/>
        </w:rPr>
        <w:t>1151.1万元，</w:t>
      </w:r>
      <w:r>
        <w:rPr>
          <w:rFonts w:hint="eastAsia" w:ascii="宋体" w:hAnsi="宋体" w:cs="宋体"/>
          <w:sz w:val="28"/>
          <w:szCs w:val="28"/>
          <w:highlight w:val="none"/>
          <w:lang w:eastAsia="zh-CN"/>
        </w:rPr>
        <w:t>同比上年增长</w:t>
      </w:r>
      <w:r>
        <w:rPr>
          <w:rFonts w:hint="eastAsia" w:ascii="宋体" w:hAnsi="宋体" w:cs="宋体"/>
          <w:sz w:val="28"/>
          <w:szCs w:val="28"/>
          <w:highlight w:val="none"/>
          <w:lang w:val="en-US" w:eastAsia="zh-CN"/>
        </w:rPr>
        <w:t>590.85万元，涨幅原因是人员增加，社区干部薪资上调。</w:t>
      </w:r>
    </w:p>
    <w:p w14:paraId="6A319F2E">
      <w:pPr>
        <w:keepNext w:val="0"/>
        <w:keepLines w:val="0"/>
        <w:pageBreakBefore w:val="0"/>
        <w:widowControl/>
        <w:shd w:val="clear" w:color="auto" w:fill="FFFFFF"/>
        <w:kinsoku/>
        <w:overflowPunct/>
        <w:topLinePunct w:val="0"/>
        <w:autoSpaceDE/>
        <w:autoSpaceDN/>
        <w:bidi w:val="0"/>
        <w:adjustRightInd/>
        <w:spacing w:before="40"/>
        <w:ind w:firstLine="48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2</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收入支出结构分析。</w:t>
      </w:r>
    </w:p>
    <w:p w14:paraId="0974BD3D">
      <w:pPr>
        <w:keepNext w:val="0"/>
        <w:keepLines w:val="0"/>
        <w:pageBreakBefore w:val="0"/>
        <w:widowControl/>
        <w:shd w:val="clear" w:color="auto" w:fill="FFFFFF"/>
        <w:kinsoku/>
        <w:overflowPunct/>
        <w:topLinePunct w:val="0"/>
        <w:autoSpaceDE/>
        <w:autoSpaceDN/>
        <w:bidi w:val="0"/>
        <w:adjustRightInd/>
        <w:spacing w:before="40"/>
        <w:ind w:firstLine="48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工资福利支出</w:t>
      </w:r>
      <w:r>
        <w:rPr>
          <w:rFonts w:hint="eastAsia" w:ascii="宋体" w:hAnsi="宋体" w:cs="宋体"/>
          <w:sz w:val="28"/>
          <w:szCs w:val="28"/>
          <w:highlight w:val="none"/>
          <w:lang w:val="en-US" w:eastAsia="zh-CN"/>
        </w:rPr>
        <w:t>1151.1万元，</w:t>
      </w:r>
      <w:r>
        <w:rPr>
          <w:rFonts w:hint="eastAsia" w:ascii="宋体" w:hAnsi="宋体" w:eastAsia="宋体" w:cs="宋体"/>
          <w:sz w:val="28"/>
          <w:szCs w:val="28"/>
          <w:highlight w:val="none"/>
        </w:rPr>
        <w:t>占比56%，</w:t>
      </w:r>
    </w:p>
    <w:p w14:paraId="5475DAD9">
      <w:pPr>
        <w:keepNext w:val="0"/>
        <w:keepLines w:val="0"/>
        <w:pageBreakBefore w:val="0"/>
        <w:widowControl/>
        <w:shd w:val="clear" w:color="auto" w:fill="FFFFFF"/>
        <w:kinsoku/>
        <w:overflowPunct/>
        <w:topLinePunct w:val="0"/>
        <w:autoSpaceDE/>
        <w:autoSpaceDN/>
        <w:bidi w:val="0"/>
        <w:adjustRightInd/>
        <w:spacing w:before="40"/>
        <w:ind w:firstLine="48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商品和服务支出</w:t>
      </w:r>
      <w:r>
        <w:rPr>
          <w:rFonts w:hint="eastAsia" w:ascii="宋体" w:hAnsi="宋体" w:cs="宋体"/>
          <w:sz w:val="28"/>
          <w:szCs w:val="28"/>
          <w:highlight w:val="none"/>
          <w:lang w:val="en-US" w:eastAsia="zh-CN"/>
        </w:rPr>
        <w:t>900.68万元，</w:t>
      </w:r>
      <w:r>
        <w:rPr>
          <w:rFonts w:hint="eastAsia" w:ascii="宋体" w:hAnsi="宋体" w:eastAsia="宋体" w:cs="宋体"/>
          <w:sz w:val="28"/>
          <w:szCs w:val="28"/>
          <w:highlight w:val="none"/>
        </w:rPr>
        <w:t>占比44%</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 xml:space="preserve"> </w:t>
      </w:r>
    </w:p>
    <w:p w14:paraId="698A8300">
      <w:pPr>
        <w:keepNext w:val="0"/>
        <w:keepLines w:val="0"/>
        <w:pageBreakBefore w:val="0"/>
        <w:widowControl/>
        <w:numPr>
          <w:ilvl w:val="0"/>
          <w:numId w:val="3"/>
        </w:numPr>
        <w:shd w:val="clear" w:color="auto" w:fill="FFFFFF"/>
        <w:kinsoku/>
        <w:overflowPunct/>
        <w:topLinePunct w:val="0"/>
        <w:autoSpaceDE/>
        <w:autoSpaceDN/>
        <w:bidi w:val="0"/>
        <w:adjustRightInd/>
        <w:spacing w:before="40"/>
        <w:ind w:firstLine="48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财政拨款收入、支出分析。</w:t>
      </w:r>
    </w:p>
    <w:p w14:paraId="1B65F736">
      <w:pPr>
        <w:keepNext w:val="0"/>
        <w:keepLines w:val="0"/>
        <w:pageBreakBefore w:val="0"/>
        <w:widowControl/>
        <w:shd w:val="clear" w:color="auto" w:fill="FFFFFF"/>
        <w:kinsoku/>
        <w:overflowPunct/>
        <w:topLinePunct w:val="0"/>
        <w:autoSpaceDE/>
        <w:autoSpaceDN/>
        <w:bidi w:val="0"/>
        <w:adjustRightInd/>
        <w:spacing w:before="40"/>
        <w:ind w:firstLine="480"/>
        <w:jc w:val="left"/>
        <w:textAlignment w:val="auto"/>
        <w:rPr>
          <w:rFonts w:hint="eastAsia" w:ascii="宋体" w:hAnsi="宋体" w:eastAsia="宋体" w:cs="宋体"/>
          <w:sz w:val="28"/>
          <w:szCs w:val="28"/>
          <w:highlight w:val="none"/>
        </w:rPr>
      </w:pPr>
      <w:r>
        <w:rPr>
          <w:rFonts w:hint="eastAsia" w:ascii="宋体" w:hAnsi="宋体" w:cs="宋体"/>
          <w:sz w:val="28"/>
          <w:szCs w:val="28"/>
          <w:highlight w:val="none"/>
          <w:lang w:val="en-US" w:eastAsia="zh-CN"/>
        </w:rPr>
        <w:t>2021</w:t>
      </w:r>
      <w:r>
        <w:rPr>
          <w:rFonts w:hint="eastAsia" w:ascii="宋体" w:hAnsi="宋体" w:eastAsia="宋体" w:cs="宋体"/>
          <w:sz w:val="28"/>
          <w:szCs w:val="28"/>
          <w:highlight w:val="none"/>
        </w:rPr>
        <w:t>年度</w:t>
      </w:r>
      <w:r>
        <w:rPr>
          <w:rFonts w:hint="eastAsia" w:ascii="宋体" w:hAnsi="宋体" w:cs="宋体"/>
          <w:sz w:val="28"/>
          <w:szCs w:val="28"/>
          <w:highlight w:val="none"/>
          <w:lang w:eastAsia="zh-CN"/>
        </w:rPr>
        <w:t>财政拨款</w:t>
      </w:r>
      <w:r>
        <w:rPr>
          <w:rFonts w:hint="eastAsia" w:ascii="宋体" w:hAnsi="宋体" w:cs="宋体"/>
          <w:sz w:val="28"/>
          <w:szCs w:val="28"/>
          <w:highlight w:val="none"/>
          <w:lang w:val="en-US" w:eastAsia="zh-CN"/>
        </w:rPr>
        <w:t>收入</w:t>
      </w:r>
      <w:r>
        <w:rPr>
          <w:rFonts w:hint="eastAsia" w:ascii="宋体" w:hAnsi="宋体" w:eastAsia="宋体" w:cs="宋体"/>
          <w:sz w:val="28"/>
          <w:szCs w:val="28"/>
          <w:highlight w:val="none"/>
        </w:rPr>
        <w:t>为2051.78万元，</w:t>
      </w:r>
      <w:r>
        <w:rPr>
          <w:rFonts w:hint="eastAsia" w:ascii="宋体" w:hAnsi="宋体" w:cs="宋体"/>
          <w:sz w:val="28"/>
          <w:szCs w:val="28"/>
          <w:highlight w:val="none"/>
          <w:lang w:eastAsia="zh-CN"/>
        </w:rPr>
        <w:t>与</w:t>
      </w:r>
      <w:r>
        <w:rPr>
          <w:rFonts w:hint="eastAsia" w:ascii="宋体" w:hAnsi="宋体" w:eastAsia="宋体" w:cs="宋体"/>
          <w:sz w:val="28"/>
          <w:szCs w:val="28"/>
          <w:highlight w:val="none"/>
        </w:rPr>
        <w:t>2020年</w:t>
      </w:r>
      <w:r>
        <w:rPr>
          <w:rFonts w:hint="eastAsia" w:ascii="宋体" w:hAnsi="宋体" w:cs="宋体"/>
          <w:sz w:val="28"/>
          <w:szCs w:val="28"/>
          <w:highlight w:val="none"/>
          <w:lang w:eastAsia="zh-CN"/>
        </w:rPr>
        <w:t>度相比，财政拨款支出增加</w:t>
      </w:r>
      <w:r>
        <w:rPr>
          <w:rFonts w:hint="eastAsia" w:ascii="宋体" w:hAnsi="宋体" w:cs="宋体"/>
          <w:sz w:val="28"/>
          <w:szCs w:val="28"/>
          <w:highlight w:val="none"/>
          <w:lang w:val="en-US" w:eastAsia="zh-CN"/>
        </w:rPr>
        <w:t>565.84万元，</w:t>
      </w:r>
      <w:r>
        <w:rPr>
          <w:rFonts w:hint="eastAsia" w:ascii="宋体" w:hAnsi="宋体" w:eastAsia="宋体" w:cs="宋体"/>
          <w:sz w:val="28"/>
          <w:szCs w:val="28"/>
          <w:highlight w:val="none"/>
        </w:rPr>
        <w:t>增</w:t>
      </w:r>
      <w:r>
        <w:rPr>
          <w:rFonts w:hint="eastAsia" w:ascii="宋体" w:hAnsi="宋体" w:cs="宋体"/>
          <w:sz w:val="28"/>
          <w:szCs w:val="28"/>
          <w:highlight w:val="none"/>
          <w:lang w:eastAsia="zh-CN"/>
        </w:rPr>
        <w:t>长</w:t>
      </w:r>
      <w:r>
        <w:rPr>
          <w:rFonts w:hint="eastAsia" w:ascii="宋体" w:hAnsi="宋体" w:eastAsia="宋体" w:cs="宋体"/>
          <w:sz w:val="28"/>
          <w:szCs w:val="28"/>
          <w:highlight w:val="none"/>
        </w:rPr>
        <w:t>38.08%</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主要原因为人员增加、社区干部薪资上调。2021</w:t>
      </w:r>
      <w:r>
        <w:rPr>
          <w:rFonts w:hint="eastAsia" w:ascii="宋体" w:hAnsi="宋体" w:eastAsia="宋体" w:cs="宋体"/>
          <w:sz w:val="28"/>
          <w:szCs w:val="28"/>
          <w:highlight w:val="none"/>
        </w:rPr>
        <w:t>年度</w:t>
      </w:r>
      <w:r>
        <w:rPr>
          <w:rFonts w:hint="eastAsia" w:ascii="宋体" w:hAnsi="宋体" w:cs="宋体"/>
          <w:sz w:val="28"/>
          <w:szCs w:val="28"/>
          <w:highlight w:val="none"/>
          <w:lang w:eastAsia="zh-CN"/>
        </w:rPr>
        <w:t>财政拨款</w:t>
      </w:r>
      <w:r>
        <w:rPr>
          <w:rFonts w:hint="eastAsia" w:ascii="宋体" w:hAnsi="宋体" w:eastAsia="宋体" w:cs="宋体"/>
          <w:sz w:val="28"/>
          <w:szCs w:val="28"/>
          <w:highlight w:val="none"/>
        </w:rPr>
        <w:t>支出为2051.78万元，</w:t>
      </w:r>
      <w:r>
        <w:rPr>
          <w:rFonts w:hint="eastAsia" w:ascii="宋体" w:hAnsi="宋体" w:cs="宋体"/>
          <w:sz w:val="28"/>
          <w:szCs w:val="28"/>
          <w:highlight w:val="none"/>
          <w:lang w:eastAsia="zh-CN"/>
        </w:rPr>
        <w:t>与</w:t>
      </w:r>
      <w:r>
        <w:rPr>
          <w:rFonts w:hint="eastAsia" w:ascii="宋体" w:hAnsi="宋体" w:eastAsia="宋体" w:cs="宋体"/>
          <w:sz w:val="28"/>
          <w:szCs w:val="28"/>
          <w:highlight w:val="none"/>
        </w:rPr>
        <w:t>2020年</w:t>
      </w:r>
      <w:r>
        <w:rPr>
          <w:rFonts w:hint="eastAsia" w:ascii="宋体" w:hAnsi="宋体" w:cs="宋体"/>
          <w:sz w:val="28"/>
          <w:szCs w:val="28"/>
          <w:highlight w:val="none"/>
          <w:lang w:eastAsia="zh-CN"/>
        </w:rPr>
        <w:t>度相比，财政拨款支出增加</w:t>
      </w:r>
      <w:r>
        <w:rPr>
          <w:rFonts w:hint="eastAsia" w:ascii="宋体" w:hAnsi="宋体" w:cs="宋体"/>
          <w:sz w:val="28"/>
          <w:szCs w:val="28"/>
          <w:highlight w:val="none"/>
          <w:lang w:val="en-US" w:eastAsia="zh-CN"/>
        </w:rPr>
        <w:t>565.84万元，</w:t>
      </w:r>
      <w:r>
        <w:rPr>
          <w:rFonts w:hint="eastAsia" w:ascii="宋体" w:hAnsi="宋体" w:eastAsia="宋体" w:cs="宋体"/>
          <w:sz w:val="28"/>
          <w:szCs w:val="28"/>
          <w:highlight w:val="none"/>
        </w:rPr>
        <w:t>增</w:t>
      </w:r>
      <w:r>
        <w:rPr>
          <w:rFonts w:hint="eastAsia" w:ascii="宋体" w:hAnsi="宋体" w:cs="宋体"/>
          <w:sz w:val="28"/>
          <w:szCs w:val="28"/>
          <w:highlight w:val="none"/>
          <w:lang w:eastAsia="zh-CN"/>
        </w:rPr>
        <w:t>长</w:t>
      </w:r>
      <w:r>
        <w:rPr>
          <w:rFonts w:hint="eastAsia" w:ascii="宋体" w:hAnsi="宋体" w:eastAsia="宋体" w:cs="宋体"/>
          <w:sz w:val="28"/>
          <w:szCs w:val="28"/>
          <w:highlight w:val="none"/>
        </w:rPr>
        <w:t>38.08%</w:t>
      </w:r>
      <w:r>
        <w:rPr>
          <w:rFonts w:hint="eastAsia" w:ascii="宋体" w:hAnsi="宋体" w:cs="宋体"/>
          <w:sz w:val="28"/>
          <w:szCs w:val="28"/>
          <w:highlight w:val="none"/>
          <w:lang w:eastAsia="zh-CN"/>
        </w:rPr>
        <w:t>。其中，</w:t>
      </w:r>
      <w:r>
        <w:rPr>
          <w:rFonts w:hint="eastAsia" w:ascii="宋体" w:hAnsi="宋体" w:cs="宋体"/>
          <w:sz w:val="28"/>
          <w:szCs w:val="28"/>
          <w:highlight w:val="none"/>
          <w:lang w:val="en-US" w:eastAsia="zh-CN"/>
        </w:rPr>
        <w:t>2021年</w:t>
      </w:r>
      <w:r>
        <w:rPr>
          <w:rFonts w:hint="eastAsia" w:ascii="宋体" w:hAnsi="宋体" w:eastAsia="宋体" w:cs="宋体"/>
          <w:sz w:val="28"/>
          <w:szCs w:val="28"/>
          <w:highlight w:val="none"/>
        </w:rPr>
        <w:t>人员经费</w:t>
      </w:r>
      <w:r>
        <w:rPr>
          <w:rFonts w:hint="eastAsia" w:ascii="宋体" w:hAnsi="宋体" w:cs="宋体"/>
          <w:sz w:val="28"/>
          <w:szCs w:val="28"/>
          <w:highlight w:val="none"/>
          <w:lang w:eastAsia="zh-CN"/>
        </w:rPr>
        <w:t>支出</w:t>
      </w:r>
      <w:r>
        <w:rPr>
          <w:rFonts w:hint="eastAsia" w:ascii="宋体" w:hAnsi="宋体" w:eastAsia="宋体" w:cs="宋体"/>
          <w:sz w:val="28"/>
          <w:szCs w:val="28"/>
          <w:highlight w:val="none"/>
        </w:rPr>
        <w:t>1151.1万元，</w:t>
      </w:r>
      <w:r>
        <w:rPr>
          <w:rFonts w:hint="eastAsia" w:ascii="宋体" w:hAnsi="宋体" w:cs="宋体"/>
          <w:sz w:val="28"/>
          <w:szCs w:val="28"/>
          <w:highlight w:val="none"/>
          <w:lang w:eastAsia="zh-CN"/>
        </w:rPr>
        <w:t>同比上年增长</w:t>
      </w:r>
      <w:r>
        <w:rPr>
          <w:rFonts w:hint="eastAsia" w:ascii="宋体" w:hAnsi="宋体" w:cs="宋体"/>
          <w:sz w:val="28"/>
          <w:szCs w:val="28"/>
          <w:highlight w:val="none"/>
          <w:lang w:val="en-US" w:eastAsia="zh-CN"/>
        </w:rPr>
        <w:t>590.85万元，公用经费支出900.68万元，同比上年减少25.01万元，主要原因为人员增加、社区干部薪资上调</w:t>
      </w:r>
      <w:r>
        <w:rPr>
          <w:rFonts w:hint="eastAsia" w:ascii="宋体" w:hAnsi="宋体" w:eastAsia="宋体" w:cs="宋体"/>
          <w:sz w:val="28"/>
          <w:szCs w:val="28"/>
          <w:highlight w:val="none"/>
        </w:rPr>
        <w:t>。</w:t>
      </w:r>
    </w:p>
    <w:p w14:paraId="7D0F34FB">
      <w:pPr>
        <w:keepNext w:val="0"/>
        <w:keepLines w:val="0"/>
        <w:pageBreakBefore w:val="0"/>
        <w:widowControl/>
        <w:shd w:val="clear" w:color="auto" w:fill="FFFFFF"/>
        <w:kinsoku/>
        <w:overflowPunct/>
        <w:topLinePunct w:val="0"/>
        <w:autoSpaceDE/>
        <w:autoSpaceDN/>
        <w:bidi w:val="0"/>
        <w:adjustRightInd/>
        <w:spacing w:before="40"/>
        <w:ind w:firstLine="480"/>
        <w:jc w:val="left"/>
        <w:textAlignment w:val="auto"/>
        <w:rPr>
          <w:rFonts w:hint="eastAsia" w:ascii="宋体" w:hAnsi="宋体" w:eastAsia="宋体" w:cs="宋体"/>
          <w:sz w:val="28"/>
          <w:szCs w:val="28"/>
          <w:highlight w:val="none"/>
        </w:rPr>
      </w:pPr>
      <w:r>
        <w:rPr>
          <w:rFonts w:hint="eastAsia" w:ascii="宋体" w:hAnsi="宋体"/>
          <w:color w:val="000000"/>
          <w:spacing w:val="2"/>
          <w:sz w:val="28"/>
          <w:szCs w:val="28"/>
          <w:highlight w:val="none"/>
          <w:lang w:eastAsia="zh-CN"/>
        </w:rPr>
        <w:t>202</w:t>
      </w:r>
      <w:r>
        <w:rPr>
          <w:rFonts w:hint="eastAsia" w:ascii="宋体" w:hAnsi="宋体"/>
          <w:color w:val="000000"/>
          <w:spacing w:val="2"/>
          <w:sz w:val="28"/>
          <w:szCs w:val="28"/>
          <w:highlight w:val="none"/>
          <w:lang w:val="en-US" w:eastAsia="zh-CN"/>
        </w:rPr>
        <w:t>1</w:t>
      </w:r>
      <w:r>
        <w:rPr>
          <w:rFonts w:hint="eastAsia" w:ascii="宋体" w:hAnsi="宋体"/>
          <w:color w:val="000000"/>
          <w:spacing w:val="2"/>
          <w:sz w:val="28"/>
          <w:szCs w:val="28"/>
          <w:highlight w:val="none"/>
        </w:rPr>
        <w:t>年</w:t>
      </w:r>
      <w:r>
        <w:rPr>
          <w:rFonts w:hint="eastAsia" w:ascii="宋体" w:hAnsi="宋体"/>
          <w:color w:val="000000"/>
          <w:spacing w:val="2"/>
          <w:sz w:val="28"/>
          <w:szCs w:val="28"/>
          <w:highlight w:val="none"/>
          <w:lang w:eastAsia="zh-CN"/>
        </w:rPr>
        <w:t>度</w:t>
      </w:r>
      <w:r>
        <w:rPr>
          <w:rFonts w:hint="eastAsia" w:ascii="宋体" w:hAnsi="宋体"/>
          <w:color w:val="000000"/>
          <w:spacing w:val="2"/>
          <w:sz w:val="28"/>
          <w:szCs w:val="28"/>
          <w:highlight w:val="none"/>
        </w:rPr>
        <w:t>一般公共预算财政拨款支出年</w:t>
      </w:r>
      <w:r>
        <w:rPr>
          <w:rFonts w:hint="eastAsia" w:ascii="宋体" w:hAnsi="宋体"/>
          <w:color w:val="000000"/>
          <w:spacing w:val="2"/>
          <w:sz w:val="28"/>
          <w:szCs w:val="28"/>
          <w:highlight w:val="none"/>
          <w:lang w:eastAsia="zh-CN"/>
        </w:rPr>
        <w:t>初</w:t>
      </w:r>
      <w:r>
        <w:rPr>
          <w:rFonts w:hint="eastAsia" w:ascii="宋体" w:hAnsi="宋体"/>
          <w:color w:val="000000"/>
          <w:spacing w:val="2"/>
          <w:sz w:val="28"/>
          <w:szCs w:val="28"/>
          <w:highlight w:val="none"/>
        </w:rPr>
        <w:t>预算为</w:t>
      </w:r>
      <w:r>
        <w:rPr>
          <w:rFonts w:hint="eastAsia" w:ascii="宋体" w:hAnsi="宋体" w:eastAsia="宋体" w:cs="宋体"/>
          <w:sz w:val="28"/>
          <w:szCs w:val="28"/>
          <w:highlight w:val="none"/>
        </w:rPr>
        <w:t>1077.36万元</w:t>
      </w:r>
      <w:r>
        <w:rPr>
          <w:rFonts w:hint="eastAsia" w:ascii="宋体" w:hAnsi="宋体" w:cs="宋体"/>
          <w:sz w:val="28"/>
          <w:szCs w:val="28"/>
          <w:highlight w:val="none"/>
          <w:lang w:eastAsia="zh-CN"/>
        </w:rPr>
        <w:t>，支出决算</w:t>
      </w:r>
      <w:r>
        <w:rPr>
          <w:rFonts w:hint="eastAsia" w:ascii="宋体" w:hAnsi="宋体" w:cs="宋体"/>
          <w:sz w:val="28"/>
          <w:szCs w:val="28"/>
          <w:highlight w:val="none"/>
          <w:lang w:val="en-US" w:eastAsia="zh-CN"/>
        </w:rPr>
        <w:t>2051.78万元，</w:t>
      </w:r>
      <w:r>
        <w:rPr>
          <w:rFonts w:hint="eastAsia" w:ascii="宋体" w:hAnsi="宋体"/>
          <w:color w:val="000000"/>
          <w:spacing w:val="2"/>
          <w:sz w:val="28"/>
          <w:szCs w:val="28"/>
          <w:highlight w:val="none"/>
          <w:lang w:val="en-US" w:eastAsia="zh-CN"/>
        </w:rPr>
        <w:t>超出</w:t>
      </w:r>
      <w:r>
        <w:rPr>
          <w:rFonts w:hint="eastAsia" w:ascii="宋体" w:hAnsi="宋体"/>
          <w:color w:val="000000"/>
          <w:spacing w:val="2"/>
          <w:sz w:val="28"/>
          <w:szCs w:val="28"/>
          <w:highlight w:val="none"/>
        </w:rPr>
        <w:t>年</w:t>
      </w:r>
      <w:r>
        <w:rPr>
          <w:rFonts w:hint="eastAsia" w:ascii="宋体" w:hAnsi="宋体"/>
          <w:color w:val="000000"/>
          <w:spacing w:val="2"/>
          <w:sz w:val="28"/>
          <w:szCs w:val="28"/>
          <w:highlight w:val="none"/>
          <w:lang w:eastAsia="zh-CN"/>
        </w:rPr>
        <w:t>初</w:t>
      </w:r>
      <w:r>
        <w:rPr>
          <w:rFonts w:hint="eastAsia" w:ascii="宋体" w:hAnsi="宋体"/>
          <w:color w:val="000000"/>
          <w:spacing w:val="2"/>
          <w:sz w:val="28"/>
          <w:szCs w:val="28"/>
          <w:highlight w:val="none"/>
        </w:rPr>
        <w:t>预算的</w:t>
      </w:r>
      <w:r>
        <w:rPr>
          <w:rFonts w:hint="eastAsia" w:ascii="宋体" w:hAnsi="宋体"/>
          <w:color w:val="000000"/>
          <w:spacing w:val="2"/>
          <w:sz w:val="28"/>
          <w:szCs w:val="28"/>
          <w:highlight w:val="none"/>
          <w:lang w:val="en-US" w:eastAsia="zh-CN"/>
        </w:rPr>
        <w:t>904.45</w:t>
      </w:r>
      <w:r>
        <w:rPr>
          <w:rFonts w:hint="eastAsia" w:ascii="宋体" w:hAnsi="宋体"/>
          <w:color w:val="000000"/>
          <w:spacing w:val="2"/>
          <w:sz w:val="28"/>
          <w:szCs w:val="28"/>
          <w:highlight w:val="none"/>
        </w:rPr>
        <w:t>%</w:t>
      </w:r>
      <w:r>
        <w:rPr>
          <w:rFonts w:hint="eastAsia" w:ascii="宋体" w:hAnsi="宋体"/>
          <w:color w:val="000000"/>
          <w:spacing w:val="2"/>
          <w:sz w:val="28"/>
          <w:szCs w:val="28"/>
          <w:highlight w:val="none"/>
          <w:lang w:eastAsia="zh-CN"/>
        </w:rPr>
        <w:t>，</w:t>
      </w:r>
      <w:r>
        <w:rPr>
          <w:rFonts w:hint="eastAsia" w:ascii="宋体" w:hAnsi="宋体"/>
          <w:color w:val="000000"/>
          <w:spacing w:val="2"/>
          <w:sz w:val="28"/>
          <w:szCs w:val="28"/>
          <w:highlight w:val="none"/>
          <w:lang w:val="en-US" w:eastAsia="zh-CN"/>
        </w:rPr>
        <w:t>主要是人员经费和公用经费均有所增加。</w:t>
      </w:r>
      <w:r>
        <w:rPr>
          <w:rFonts w:hint="eastAsia" w:ascii="宋体" w:hAnsi="宋体"/>
          <w:color w:val="000000"/>
          <w:spacing w:val="2"/>
          <w:sz w:val="28"/>
          <w:szCs w:val="28"/>
          <w:highlight w:val="none"/>
        </w:rPr>
        <w:t>支出决算数</w:t>
      </w:r>
      <w:r>
        <w:rPr>
          <w:rFonts w:hint="eastAsia" w:ascii="宋体" w:hAnsi="宋体"/>
          <w:color w:val="000000"/>
          <w:spacing w:val="2"/>
          <w:sz w:val="28"/>
          <w:szCs w:val="28"/>
          <w:highlight w:val="none"/>
          <w:lang w:eastAsia="zh-CN"/>
        </w:rPr>
        <w:t>大</w:t>
      </w:r>
      <w:r>
        <w:rPr>
          <w:rFonts w:hint="eastAsia" w:ascii="宋体" w:hAnsi="宋体"/>
          <w:color w:val="000000"/>
          <w:spacing w:val="2"/>
          <w:sz w:val="28"/>
          <w:szCs w:val="28"/>
          <w:highlight w:val="none"/>
        </w:rPr>
        <w:t>于年</w:t>
      </w:r>
      <w:r>
        <w:rPr>
          <w:rFonts w:hint="eastAsia" w:ascii="宋体" w:hAnsi="宋体"/>
          <w:color w:val="000000"/>
          <w:spacing w:val="2"/>
          <w:sz w:val="28"/>
          <w:szCs w:val="28"/>
          <w:highlight w:val="none"/>
          <w:lang w:eastAsia="zh-CN"/>
        </w:rPr>
        <w:t>初</w:t>
      </w:r>
      <w:r>
        <w:rPr>
          <w:rFonts w:hint="eastAsia" w:ascii="宋体" w:hAnsi="宋体"/>
          <w:color w:val="000000"/>
          <w:spacing w:val="2"/>
          <w:sz w:val="28"/>
          <w:szCs w:val="28"/>
          <w:highlight w:val="none"/>
        </w:rPr>
        <w:t>预算数的主要原因</w:t>
      </w:r>
      <w:r>
        <w:rPr>
          <w:rFonts w:hint="eastAsia" w:ascii="宋体" w:hAnsi="宋体"/>
          <w:color w:val="000000"/>
          <w:spacing w:val="2"/>
          <w:sz w:val="28"/>
          <w:szCs w:val="28"/>
          <w:highlight w:val="none"/>
          <w:lang w:eastAsia="zh-CN"/>
        </w:rPr>
        <w:t>：</w:t>
      </w:r>
      <w:r>
        <w:rPr>
          <w:rFonts w:hint="eastAsia" w:ascii="宋体" w:hAnsi="宋体" w:eastAsia="宋体" w:cs="宋体"/>
          <w:sz w:val="28"/>
          <w:szCs w:val="28"/>
          <w:highlight w:val="none"/>
        </w:rPr>
        <w:t>2021年机构改革后，由财政资金保障的区城管及工商局人员调入8人(其中2人退休)，新招入职事业编制人员7人</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2020年8月社区干部工资薪金上调，87名人均涨幅1000元/月，2021年支出数含2020年度8-12月份增资额。同时存在社区各类专项资金年初也并未纳入预算，年中发生时申请拨入。</w:t>
      </w:r>
    </w:p>
    <w:p w14:paraId="15378DD2">
      <w:pPr>
        <w:keepNext w:val="0"/>
        <w:keepLines w:val="0"/>
        <w:pageBreakBefore w:val="0"/>
        <w:widowControl/>
        <w:shd w:val="clear" w:color="auto" w:fill="FFFFFF"/>
        <w:kinsoku/>
        <w:overflowPunct/>
        <w:topLinePunct w:val="0"/>
        <w:autoSpaceDE/>
        <w:autoSpaceDN/>
        <w:bidi w:val="0"/>
        <w:adjustRightInd/>
        <w:spacing w:before="40"/>
        <w:ind w:firstLine="281" w:firstLineChars="100"/>
        <w:jc w:val="left"/>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（二）关于“三公”经费支出说明</w:t>
      </w:r>
    </w:p>
    <w:p w14:paraId="398043FF">
      <w:pPr>
        <w:pStyle w:val="18"/>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2021年“三公”经费</w:t>
      </w:r>
      <w:r>
        <w:rPr>
          <w:rFonts w:hint="eastAsia" w:asciiTheme="minorEastAsia" w:hAnsiTheme="minorEastAsia" w:cstheme="minorEastAsia"/>
          <w:sz w:val="28"/>
          <w:szCs w:val="28"/>
          <w:lang w:val="en-US" w:eastAsia="zh-CN"/>
        </w:rPr>
        <w:t>年初预算0元，</w:t>
      </w:r>
      <w:r>
        <w:rPr>
          <w:rFonts w:hint="eastAsia" w:asciiTheme="minorEastAsia" w:hAnsiTheme="minorEastAsia" w:eastAsiaTheme="minorEastAsia" w:cstheme="minorEastAsia"/>
          <w:sz w:val="28"/>
          <w:szCs w:val="28"/>
        </w:rPr>
        <w:t>决算总支出0元，与2020年度持平</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其中：</w:t>
      </w:r>
    </w:p>
    <w:p w14:paraId="2F1AFE0E">
      <w:pPr>
        <w:pStyle w:val="18"/>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因公出国（境）费0元，预算数0元，决算数比预算数增加0元，增长幅度为0%</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我部门因</w:t>
      </w:r>
      <w:r>
        <w:rPr>
          <w:rFonts w:hint="eastAsia" w:asciiTheme="minorEastAsia" w:hAnsiTheme="minorEastAsia" w:eastAsiaTheme="minorEastAsia" w:cstheme="minorEastAsia"/>
          <w:sz w:val="28"/>
          <w:szCs w:val="28"/>
        </w:rPr>
        <w:t>公出国（境）团组数0、人数0，与2020年度持平</w:t>
      </w:r>
    </w:p>
    <w:p w14:paraId="6CBF5445">
      <w:pPr>
        <w:pStyle w:val="18"/>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仿宋_GB2312" w:eastAsia="仿宋_GB2312"/>
          <w:color w:val="000000"/>
          <w:sz w:val="32"/>
          <w:szCs w:val="32"/>
          <w:highlight w:val="none"/>
          <w:u w:val="none"/>
        </w:rPr>
      </w:pP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公务用车购置及运行费支出决算为</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年初</w:t>
      </w:r>
      <w:r>
        <w:rPr>
          <w:rFonts w:hint="eastAsia" w:asciiTheme="minorEastAsia" w:hAnsiTheme="minorEastAsia" w:eastAsiaTheme="minorEastAsia" w:cstheme="minorEastAsia"/>
          <w:sz w:val="28"/>
          <w:szCs w:val="28"/>
        </w:rPr>
        <w:t>预算</w:t>
      </w:r>
      <w:r>
        <w:rPr>
          <w:rFonts w:hint="eastAsia" w:asciiTheme="minorEastAsia" w:hAnsiTheme="minorEastAsia" w:cstheme="minorEastAsia"/>
          <w:sz w:val="28"/>
          <w:szCs w:val="28"/>
          <w:lang w:val="en-US" w:eastAsia="zh-CN"/>
        </w:rPr>
        <w:t>0元</w:t>
      </w:r>
      <w:r>
        <w:rPr>
          <w:rFonts w:hint="eastAsia" w:asciiTheme="minorEastAsia" w:hAnsiTheme="minorEastAsia" w:eastAsiaTheme="minorEastAsia" w:cstheme="minorEastAsia"/>
          <w:sz w:val="28"/>
          <w:szCs w:val="28"/>
        </w:rPr>
        <w:t>；其中：</w:t>
      </w:r>
    </w:p>
    <w:p w14:paraId="3C507FE2">
      <w:pPr>
        <w:pStyle w:val="18"/>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公务车运行维护费0元，年初预算数0元，决算数比预算数增加0元，增加幅度为0%；</w:t>
      </w:r>
      <w:r>
        <w:rPr>
          <w:rFonts w:hint="eastAsia" w:asciiTheme="minorEastAsia" w:hAnsiTheme="minorEastAsia" w:cstheme="minorEastAsia"/>
          <w:sz w:val="28"/>
          <w:szCs w:val="28"/>
          <w:lang w:val="en-US" w:eastAsia="zh-CN"/>
        </w:rPr>
        <w:t>公务车实物量0，保有量0，与2020年度持平；</w:t>
      </w:r>
    </w:p>
    <w:p w14:paraId="5794D24F">
      <w:pPr>
        <w:pStyle w:val="18"/>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公务用车购置费0元，年初预算</w:t>
      </w:r>
      <w:r>
        <w:rPr>
          <w:rFonts w:hint="eastAsia" w:asciiTheme="minorEastAsia" w:hAnsiTheme="minorEastAsia" w:eastAsiaTheme="minorEastAsia" w:cstheme="minorEastAsia"/>
          <w:sz w:val="28"/>
          <w:szCs w:val="28"/>
        </w:rPr>
        <w:t>年初预算数0元，决算数比预算数增加0元</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与2020年度持平；</w:t>
      </w:r>
    </w:p>
    <w:p w14:paraId="0B54E494">
      <w:pPr>
        <w:pStyle w:val="18"/>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lang w:val="en-US" w:eastAsia="zh-CN"/>
        </w:rPr>
      </w:pP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公务接待费0元，年初预算数0元，决算数比预算数增加0元，增长幅度为0%；</w:t>
      </w:r>
      <w:r>
        <w:rPr>
          <w:rFonts w:hint="eastAsia" w:asciiTheme="minorEastAsia" w:hAnsiTheme="minorEastAsia" w:cstheme="minorEastAsia"/>
          <w:sz w:val="28"/>
          <w:szCs w:val="28"/>
          <w:lang w:val="en-US" w:eastAsia="zh-CN"/>
        </w:rPr>
        <w:t>我部门公务接待批次0，公务接待人数0，与2020年度持平；</w:t>
      </w:r>
    </w:p>
    <w:p w14:paraId="22A4CBDB">
      <w:pPr>
        <w:keepNext w:val="0"/>
        <w:keepLines w:val="0"/>
        <w:pageBreakBefore w:val="0"/>
        <w:widowControl/>
        <w:shd w:val="clear" w:color="auto" w:fill="FFFFFF"/>
        <w:kinsoku/>
        <w:overflowPunct/>
        <w:topLinePunct w:val="0"/>
        <w:autoSpaceDE/>
        <w:autoSpaceDN/>
        <w:bidi w:val="0"/>
        <w:adjustRightInd/>
        <w:spacing w:before="40"/>
        <w:ind w:firstLine="480"/>
        <w:jc w:val="left"/>
        <w:textAlignment w:val="auto"/>
        <w:rPr>
          <w:rFonts w:hint="eastAsia" w:ascii="宋体" w:hAnsi="宋体" w:eastAsia="宋体" w:cs="宋体"/>
          <w:sz w:val="28"/>
          <w:szCs w:val="28"/>
          <w:highlight w:val="yellow"/>
          <w:lang w:val="en-US" w:eastAsia="zh-CN"/>
        </w:rPr>
      </w:pPr>
      <w:r>
        <w:rPr>
          <w:rFonts w:hint="eastAsia" w:ascii="宋体" w:hAnsi="宋体" w:eastAsia="宋体" w:cs="宋体"/>
          <w:b/>
          <w:bCs/>
          <w:sz w:val="28"/>
          <w:szCs w:val="28"/>
          <w:highlight w:val="none"/>
        </w:rPr>
        <w:t>（三）关于机关运行经费支出说明</w:t>
      </w:r>
    </w:p>
    <w:p w14:paraId="3546D582">
      <w:pPr>
        <w:keepNext w:val="0"/>
        <w:keepLines w:val="0"/>
        <w:pageBreakBefore w:val="0"/>
        <w:widowControl/>
        <w:shd w:val="clear" w:color="auto" w:fill="FFFFFF"/>
        <w:kinsoku/>
        <w:overflowPunct/>
        <w:topLinePunct w:val="0"/>
        <w:autoSpaceDE/>
        <w:autoSpaceDN/>
        <w:bidi w:val="0"/>
        <w:adjustRightInd/>
        <w:spacing w:before="40"/>
        <w:ind w:firstLine="480"/>
        <w:jc w:val="left"/>
        <w:textAlignment w:val="auto"/>
        <w:rPr>
          <w:rFonts w:hint="eastAsia" w:ascii="宋体" w:hAnsi="宋体" w:eastAsia="宋体" w:cs="宋体"/>
          <w:sz w:val="28"/>
          <w:szCs w:val="28"/>
          <w:highlight w:val="none"/>
          <w:lang w:val="en-US" w:eastAsia="zh-CN"/>
        </w:rPr>
      </w:pPr>
      <w:r>
        <w:rPr>
          <w:rFonts w:hint="eastAsia" w:asciiTheme="minorEastAsia" w:hAnsiTheme="minorEastAsia" w:eastAsiaTheme="minorEastAsia" w:cstheme="minorEastAsia"/>
          <w:sz w:val="28"/>
          <w:szCs w:val="28"/>
          <w:highlight w:val="none"/>
        </w:rPr>
        <w:t>本部门</w:t>
      </w:r>
      <w:r>
        <w:rPr>
          <w:rFonts w:hint="eastAsia" w:asciiTheme="minorEastAsia" w:hAnsiTheme="minorEastAsia" w:cstheme="minorEastAsia"/>
          <w:sz w:val="28"/>
          <w:szCs w:val="28"/>
          <w:highlight w:val="none"/>
          <w:lang w:val="en-US" w:eastAsia="zh-CN"/>
        </w:rPr>
        <w:t>2021</w:t>
      </w:r>
      <w:r>
        <w:rPr>
          <w:rFonts w:hint="eastAsia" w:asciiTheme="minorEastAsia" w:hAnsiTheme="minorEastAsia" w:eastAsiaTheme="minorEastAsia" w:cstheme="minorEastAsia"/>
          <w:sz w:val="28"/>
          <w:szCs w:val="28"/>
          <w:highlight w:val="none"/>
        </w:rPr>
        <w:t>年度机关运行经费支出</w:t>
      </w:r>
      <w:r>
        <w:rPr>
          <w:rFonts w:hint="eastAsia" w:ascii="宋体" w:hAnsi="宋体" w:eastAsia="宋体" w:cs="宋体"/>
          <w:sz w:val="28"/>
          <w:szCs w:val="28"/>
          <w:highlight w:val="none"/>
          <w:lang w:val="en-US" w:eastAsia="zh-CN"/>
        </w:rPr>
        <w:t>900.6</w:t>
      </w:r>
      <w:r>
        <w:rPr>
          <w:rFonts w:hint="eastAsia" w:ascii="宋体" w:hAnsi="宋体" w:cs="宋体"/>
          <w:sz w:val="28"/>
          <w:szCs w:val="28"/>
          <w:highlight w:val="none"/>
          <w:lang w:val="en-US" w:eastAsia="zh-CN"/>
        </w:rPr>
        <w:t>8</w:t>
      </w:r>
      <w:r>
        <w:rPr>
          <w:rFonts w:hint="eastAsia" w:ascii="宋体" w:hAnsi="宋体" w:eastAsia="宋体" w:cs="宋体"/>
          <w:sz w:val="28"/>
          <w:szCs w:val="28"/>
          <w:highlight w:val="none"/>
        </w:rPr>
        <w:t>万元</w:t>
      </w:r>
      <w:r>
        <w:rPr>
          <w:rFonts w:hint="eastAsia" w:asciiTheme="minorEastAsia" w:hAnsiTheme="minorEastAsia" w:eastAsiaTheme="minorEastAsia" w:cstheme="minorEastAsia"/>
          <w:sz w:val="28"/>
          <w:szCs w:val="28"/>
          <w:highlight w:val="none"/>
        </w:rPr>
        <w:t>，与2020年决算数</w:t>
      </w:r>
      <w:r>
        <w:rPr>
          <w:rFonts w:hint="eastAsia" w:ascii="宋体" w:hAnsi="宋体" w:cs="宋体"/>
          <w:sz w:val="28"/>
          <w:szCs w:val="28"/>
          <w:highlight w:val="none"/>
          <w:lang w:val="en-US" w:eastAsia="zh-CN"/>
        </w:rPr>
        <w:t>925.7</w:t>
      </w:r>
      <w:r>
        <w:rPr>
          <w:rFonts w:hint="eastAsia" w:asciiTheme="minorEastAsia" w:hAnsiTheme="minorEastAsia" w:eastAsiaTheme="minorEastAsia" w:cstheme="minorEastAsia"/>
          <w:sz w:val="28"/>
          <w:szCs w:val="28"/>
          <w:highlight w:val="none"/>
        </w:rPr>
        <w:t>万元</w:t>
      </w:r>
      <w:r>
        <w:rPr>
          <w:rFonts w:hint="eastAsia" w:asciiTheme="minorEastAsia" w:hAnsiTheme="minorEastAsia" w:eastAsiaTheme="minorEastAsia" w:cstheme="minorEastAsia"/>
          <w:sz w:val="28"/>
          <w:szCs w:val="28"/>
          <w:highlight w:val="none"/>
          <w:lang w:eastAsia="zh-CN"/>
        </w:rPr>
        <w:t>减少</w:t>
      </w:r>
      <w:r>
        <w:rPr>
          <w:rFonts w:hint="eastAsia" w:asciiTheme="minorEastAsia" w:hAnsiTheme="minorEastAsia" w:eastAsiaTheme="minorEastAsia" w:cstheme="minorEastAsia"/>
          <w:sz w:val="28"/>
          <w:szCs w:val="28"/>
          <w:highlight w:val="none"/>
        </w:rPr>
        <w:t>了</w:t>
      </w:r>
      <w:r>
        <w:rPr>
          <w:rFonts w:hint="eastAsia" w:asciiTheme="minorEastAsia" w:hAnsiTheme="minorEastAsia" w:cstheme="minorEastAsia"/>
          <w:sz w:val="28"/>
          <w:szCs w:val="28"/>
          <w:highlight w:val="none"/>
          <w:lang w:val="en-US" w:eastAsia="zh-CN"/>
        </w:rPr>
        <w:t>25.02</w:t>
      </w:r>
      <w:r>
        <w:rPr>
          <w:rFonts w:hint="eastAsia" w:asciiTheme="minorEastAsia" w:hAnsiTheme="minorEastAsia" w:eastAsiaTheme="minorEastAsia" w:cstheme="minorEastAsia"/>
          <w:sz w:val="28"/>
          <w:szCs w:val="28"/>
          <w:highlight w:val="none"/>
        </w:rPr>
        <w:t>万元，较2021年预算数</w:t>
      </w:r>
      <w:r>
        <w:rPr>
          <w:rFonts w:hint="eastAsia" w:asciiTheme="minorEastAsia" w:hAnsiTheme="minorEastAsia" w:cstheme="minorEastAsia"/>
          <w:sz w:val="28"/>
          <w:szCs w:val="28"/>
          <w:highlight w:val="none"/>
          <w:lang w:val="en-US" w:eastAsia="zh-CN"/>
        </w:rPr>
        <w:t>599.14</w:t>
      </w:r>
      <w:r>
        <w:rPr>
          <w:rFonts w:hint="eastAsia" w:asciiTheme="minorEastAsia" w:hAnsiTheme="minorEastAsia" w:eastAsiaTheme="minorEastAsia" w:cstheme="minorEastAsia"/>
          <w:sz w:val="28"/>
          <w:szCs w:val="28"/>
          <w:highlight w:val="none"/>
        </w:rPr>
        <w:t>万元增加了</w:t>
      </w:r>
      <w:r>
        <w:rPr>
          <w:rFonts w:hint="eastAsia" w:asciiTheme="minorEastAsia" w:hAnsiTheme="minorEastAsia" w:cstheme="minorEastAsia"/>
          <w:sz w:val="28"/>
          <w:szCs w:val="28"/>
          <w:highlight w:val="none"/>
          <w:lang w:val="en-US" w:eastAsia="zh-CN"/>
        </w:rPr>
        <w:t>301.54</w:t>
      </w:r>
      <w:r>
        <w:rPr>
          <w:rFonts w:hint="eastAsia" w:asciiTheme="minorEastAsia" w:hAnsiTheme="minorEastAsia" w:eastAsiaTheme="minorEastAsia" w:cstheme="minorEastAsia"/>
          <w:sz w:val="28"/>
          <w:szCs w:val="28"/>
          <w:highlight w:val="none"/>
        </w:rPr>
        <w:t>万元。主</w:t>
      </w:r>
      <w:r>
        <w:rPr>
          <w:rFonts w:hint="eastAsia" w:ascii="宋体" w:hAnsi="宋体"/>
          <w:color w:val="000000"/>
          <w:spacing w:val="2"/>
          <w:sz w:val="28"/>
          <w:szCs w:val="28"/>
          <w:highlight w:val="none"/>
          <w:lang w:val="en-US" w:eastAsia="zh-CN"/>
        </w:rPr>
        <w:t>要用于办公及印刷费、邮电费、差旅费、培训费、日常维修费、办公设备购置费、办公用房水电费、劳务费、委托业务费、工会经费、福利费以及其他费用，比2020年预算数408.66万增加了190.48万元，增长46.61%。主要原因是劳务费增加。</w:t>
      </w:r>
    </w:p>
    <w:p w14:paraId="60CF587C">
      <w:pPr>
        <w:keepNext w:val="0"/>
        <w:keepLines w:val="0"/>
        <w:pageBreakBefore w:val="0"/>
        <w:widowControl/>
        <w:numPr>
          <w:ilvl w:val="0"/>
          <w:numId w:val="4"/>
        </w:numPr>
        <w:shd w:val="clear" w:color="auto" w:fill="FFFFFF"/>
        <w:kinsoku/>
        <w:overflowPunct/>
        <w:topLinePunct w:val="0"/>
        <w:autoSpaceDE/>
        <w:autoSpaceDN/>
        <w:bidi w:val="0"/>
        <w:adjustRightInd/>
        <w:spacing w:before="40"/>
        <w:ind w:firstLine="480"/>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关于政府采购支出说明</w:t>
      </w:r>
    </w:p>
    <w:p w14:paraId="5B989E88">
      <w:pPr>
        <w:keepNext w:val="0"/>
        <w:keepLines w:val="0"/>
        <w:pageBreakBefore w:val="0"/>
        <w:widowControl/>
        <w:numPr>
          <w:ilvl w:val="0"/>
          <w:numId w:val="0"/>
        </w:numPr>
        <w:shd w:val="clear" w:color="auto" w:fill="FFFFFF"/>
        <w:kinsoku/>
        <w:overflowPunct/>
        <w:topLinePunct w:val="0"/>
        <w:autoSpaceDE/>
        <w:autoSpaceDN/>
        <w:bidi w:val="0"/>
        <w:adjustRightInd/>
        <w:spacing w:before="40"/>
        <w:ind w:left="480" w:leftChars="0"/>
        <w:jc w:val="left"/>
        <w:textAlignment w:val="auto"/>
        <w:rPr>
          <w:rFonts w:hint="eastAsia" w:ascii="宋体" w:hAnsi="宋体" w:eastAsia="宋体" w:cs="宋体"/>
          <w:b/>
          <w:bCs/>
          <w:sz w:val="28"/>
          <w:szCs w:val="28"/>
        </w:rPr>
      </w:pPr>
      <w:r>
        <w:rPr>
          <w:rFonts w:hint="eastAsia" w:ascii="宋体" w:hAnsi="宋体" w:eastAsia="宋体" w:cs="宋体"/>
          <w:sz w:val="28"/>
          <w:szCs w:val="28"/>
          <w:highlight w:val="none"/>
        </w:rPr>
        <w:t>2021年度政府采购支出总额</w:t>
      </w:r>
      <w:r>
        <w:rPr>
          <w:rFonts w:hint="eastAsia" w:ascii="宋体" w:hAnsi="宋体" w:cs="宋体"/>
          <w:sz w:val="28"/>
          <w:szCs w:val="28"/>
          <w:highlight w:val="none"/>
          <w:lang w:val="en-US" w:eastAsia="zh-CN"/>
        </w:rPr>
        <w:t>5.08</w:t>
      </w:r>
      <w:r>
        <w:rPr>
          <w:rFonts w:hint="eastAsia" w:ascii="宋体" w:hAnsi="宋体" w:eastAsia="宋体" w:cs="宋体"/>
          <w:sz w:val="28"/>
          <w:szCs w:val="28"/>
          <w:highlight w:val="none"/>
        </w:rPr>
        <w:t>万元，其中：政府采购货物支出</w:t>
      </w:r>
      <w:r>
        <w:rPr>
          <w:rFonts w:hint="eastAsia" w:ascii="宋体" w:hAnsi="宋体" w:cs="宋体"/>
          <w:sz w:val="28"/>
          <w:szCs w:val="28"/>
          <w:highlight w:val="none"/>
          <w:lang w:val="en-US" w:eastAsia="zh-CN"/>
        </w:rPr>
        <w:t>5.08</w:t>
      </w:r>
      <w:r>
        <w:rPr>
          <w:rFonts w:hint="eastAsia" w:ascii="宋体" w:hAnsi="宋体" w:eastAsia="宋体" w:cs="宋体"/>
          <w:sz w:val="28"/>
          <w:szCs w:val="28"/>
          <w:highlight w:val="none"/>
        </w:rPr>
        <w:t>万元、政府采购工程支出0万元、政府采购服务支出0万元。授予中小企业合同金额</w:t>
      </w:r>
      <w:r>
        <w:rPr>
          <w:rFonts w:hint="eastAsia" w:ascii="宋体" w:hAnsi="宋体" w:cs="宋体"/>
          <w:sz w:val="28"/>
          <w:szCs w:val="28"/>
          <w:highlight w:val="none"/>
          <w:lang w:val="en-US" w:eastAsia="zh-CN"/>
        </w:rPr>
        <w:t>5.08</w:t>
      </w:r>
      <w:r>
        <w:rPr>
          <w:rFonts w:hint="eastAsia" w:ascii="宋体" w:hAnsi="宋体" w:eastAsia="宋体" w:cs="宋体"/>
          <w:sz w:val="28"/>
          <w:szCs w:val="28"/>
          <w:highlight w:val="none"/>
        </w:rPr>
        <w:t>万元，占政府采购支出总额的</w:t>
      </w:r>
      <w:r>
        <w:rPr>
          <w:rFonts w:hint="eastAsia" w:ascii="宋体" w:hAnsi="宋体" w:cs="宋体"/>
          <w:sz w:val="28"/>
          <w:szCs w:val="28"/>
          <w:highlight w:val="none"/>
          <w:lang w:val="en-US" w:eastAsia="zh-CN"/>
        </w:rPr>
        <w:t>10</w:t>
      </w:r>
      <w:r>
        <w:rPr>
          <w:rFonts w:hint="eastAsia" w:ascii="宋体" w:hAnsi="宋体" w:eastAsia="宋体" w:cs="宋体"/>
          <w:sz w:val="28"/>
          <w:szCs w:val="28"/>
          <w:highlight w:val="none"/>
        </w:rPr>
        <w:t>0%，其中：授予小微企业合同金额</w:t>
      </w:r>
      <w:r>
        <w:rPr>
          <w:rFonts w:hint="eastAsia" w:ascii="宋体" w:hAnsi="宋体" w:cs="宋体"/>
          <w:sz w:val="28"/>
          <w:szCs w:val="28"/>
          <w:highlight w:val="none"/>
          <w:lang w:val="en-US" w:eastAsia="zh-CN"/>
        </w:rPr>
        <w:t>5.08</w:t>
      </w:r>
      <w:r>
        <w:rPr>
          <w:rFonts w:hint="eastAsia" w:ascii="宋体" w:hAnsi="宋体" w:eastAsia="宋体" w:cs="宋体"/>
          <w:sz w:val="28"/>
          <w:szCs w:val="28"/>
          <w:highlight w:val="none"/>
        </w:rPr>
        <w:t>万元，占政府采购支出总额的</w:t>
      </w:r>
      <w:r>
        <w:rPr>
          <w:rFonts w:hint="eastAsia" w:ascii="宋体" w:hAnsi="宋体" w:cs="宋体"/>
          <w:sz w:val="28"/>
          <w:szCs w:val="28"/>
          <w:highlight w:val="none"/>
          <w:lang w:val="en-US" w:eastAsia="zh-CN"/>
        </w:rPr>
        <w:t>10</w:t>
      </w:r>
      <w:r>
        <w:rPr>
          <w:rFonts w:hint="eastAsia" w:ascii="宋体" w:hAnsi="宋体" w:eastAsia="宋体" w:cs="宋体"/>
          <w:sz w:val="28"/>
          <w:szCs w:val="28"/>
          <w:highlight w:val="none"/>
        </w:rPr>
        <w:t>0%。</w:t>
      </w:r>
    </w:p>
    <w:p w14:paraId="4F3EE669">
      <w:pPr>
        <w:keepNext w:val="0"/>
        <w:keepLines w:val="0"/>
        <w:pageBreakBefore w:val="0"/>
        <w:widowControl/>
        <w:numPr>
          <w:ilvl w:val="0"/>
          <w:numId w:val="4"/>
        </w:numPr>
        <w:shd w:val="clear" w:color="auto" w:fill="FFFFFF"/>
        <w:kinsoku/>
        <w:overflowPunct/>
        <w:topLinePunct w:val="0"/>
        <w:autoSpaceDE/>
        <w:autoSpaceDN/>
        <w:bidi w:val="0"/>
        <w:adjustRightInd/>
        <w:spacing w:before="40"/>
        <w:ind w:left="0" w:leftChars="0" w:firstLine="480" w:firstLineChars="0"/>
        <w:jc w:val="left"/>
        <w:textAlignment w:val="auto"/>
        <w:rPr>
          <w:rFonts w:hint="eastAsia" w:asciiTheme="minorEastAsia" w:hAnsiTheme="minorEastAsia" w:eastAsiaTheme="minorEastAsia" w:cstheme="minorEastAsia"/>
          <w:sz w:val="28"/>
          <w:szCs w:val="28"/>
          <w:highlight w:val="none"/>
        </w:rPr>
      </w:pPr>
      <w:r>
        <w:rPr>
          <w:rFonts w:hint="eastAsia" w:ascii="宋体" w:hAnsi="宋体" w:eastAsia="宋体" w:cs="宋体"/>
          <w:b/>
          <w:bCs/>
          <w:sz w:val="28"/>
          <w:szCs w:val="28"/>
        </w:rPr>
        <w:t>国有资产占用情况说明</w:t>
      </w:r>
    </w:p>
    <w:p w14:paraId="51385D18">
      <w:pPr>
        <w:keepNext w:val="0"/>
        <w:keepLines w:val="0"/>
        <w:pageBreakBefore w:val="0"/>
        <w:widowControl/>
        <w:numPr>
          <w:ilvl w:val="0"/>
          <w:numId w:val="0"/>
        </w:numPr>
        <w:shd w:val="clear" w:color="auto" w:fill="FFFFFF"/>
        <w:kinsoku/>
        <w:overflowPunct/>
        <w:topLinePunct w:val="0"/>
        <w:autoSpaceDE/>
        <w:autoSpaceDN/>
        <w:bidi w:val="0"/>
        <w:adjustRightInd/>
        <w:spacing w:before="40"/>
        <w:ind w:left="480" w:leftChars="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kern w:val="2"/>
          <w:sz w:val="28"/>
          <w:szCs w:val="28"/>
          <w:highlight w:val="none"/>
          <w:lang w:val="en-US" w:eastAsia="zh-CN" w:bidi="ar-SA"/>
        </w:rPr>
        <w:t xml:space="preserve">截至2021年12月31日，本部门（单位）共有车辆0辆，其中，主要领导干部用车0辆、机要通信用车0辆、应急保障用车0 辆、执法执勤用车0 辆、特种专业技术用车0 辆、离退休干部用车0辆、其他用车0辆；单位价值50万元以上通用设备0台（套）；单位价值100万元以上专用设备0台（套）。 </w:t>
      </w:r>
      <w:r>
        <w:rPr>
          <w:rFonts w:hint="eastAsia" w:asciiTheme="minorEastAsia" w:hAnsiTheme="minorEastAsia" w:eastAsiaTheme="minorEastAsia" w:cstheme="minorEastAsia"/>
          <w:sz w:val="28"/>
          <w:szCs w:val="28"/>
          <w:highlight w:val="none"/>
        </w:rPr>
        <w:t xml:space="preserve"> </w:t>
      </w:r>
    </w:p>
    <w:p w14:paraId="0ABCBCEF">
      <w:pPr>
        <w:pStyle w:val="6"/>
        <w:keepNext w:val="0"/>
        <w:keepLines w:val="0"/>
        <w:pageBreakBefore w:val="0"/>
        <w:widowControl/>
        <w:numPr>
          <w:ilvl w:val="0"/>
          <w:numId w:val="0"/>
        </w:numPr>
        <w:kinsoku/>
        <w:overflowPunct/>
        <w:topLinePunct w:val="0"/>
        <w:autoSpaceDE/>
        <w:autoSpaceDN/>
        <w:bidi w:val="0"/>
        <w:adjustRightInd/>
        <w:spacing w:before="40" w:beforeAutospacing="0" w:after="0" w:afterAutospacing="0" w:line="585" w:lineRule="atLeast"/>
        <w:ind w:firstLine="281" w:firstLineChars="100"/>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lang w:eastAsia="zh-CN"/>
        </w:rPr>
        <w:t>（六）</w:t>
      </w:r>
      <w:r>
        <w:rPr>
          <w:rFonts w:hint="eastAsia" w:ascii="宋体" w:hAnsi="宋体" w:eastAsia="宋体" w:cs="宋体"/>
          <w:b/>
          <w:sz w:val="28"/>
          <w:szCs w:val="28"/>
          <w:highlight w:val="none"/>
        </w:rPr>
        <w:t>重点项目</w:t>
      </w:r>
      <w:r>
        <w:rPr>
          <w:rFonts w:hint="eastAsia" w:ascii="宋体" w:hAnsi="宋体" w:eastAsia="宋体" w:cs="宋体"/>
          <w:b/>
          <w:sz w:val="28"/>
          <w:szCs w:val="28"/>
          <w:highlight w:val="none"/>
          <w:lang w:eastAsia="zh-CN"/>
        </w:rPr>
        <w:t>决算</w:t>
      </w:r>
      <w:r>
        <w:rPr>
          <w:rFonts w:hint="eastAsia" w:ascii="宋体" w:hAnsi="宋体" w:eastAsia="宋体" w:cs="宋体"/>
          <w:b/>
          <w:sz w:val="28"/>
          <w:szCs w:val="28"/>
          <w:highlight w:val="none"/>
        </w:rPr>
        <w:t>绩效目标等</w:t>
      </w:r>
      <w:r>
        <w:rPr>
          <w:rFonts w:hint="eastAsia" w:ascii="宋体" w:hAnsi="宋体" w:eastAsia="宋体" w:cs="宋体"/>
          <w:b/>
          <w:sz w:val="28"/>
          <w:szCs w:val="28"/>
          <w:highlight w:val="none"/>
          <w:lang w:eastAsia="zh-CN"/>
        </w:rPr>
        <w:t>决算</w:t>
      </w:r>
      <w:r>
        <w:rPr>
          <w:rFonts w:hint="eastAsia" w:ascii="宋体" w:hAnsi="宋体" w:eastAsia="宋体" w:cs="宋体"/>
          <w:b/>
          <w:sz w:val="28"/>
          <w:szCs w:val="28"/>
          <w:highlight w:val="none"/>
        </w:rPr>
        <w:t>绩效情况说明</w:t>
      </w:r>
    </w:p>
    <w:p w14:paraId="59425C80">
      <w:pPr>
        <w:pStyle w:val="6"/>
        <w:keepNext w:val="0"/>
        <w:keepLines w:val="0"/>
        <w:pageBreakBefore w:val="0"/>
        <w:widowControl/>
        <w:numPr>
          <w:ilvl w:val="0"/>
          <w:numId w:val="0"/>
        </w:numPr>
        <w:kinsoku/>
        <w:overflowPunct/>
        <w:topLinePunct w:val="0"/>
        <w:autoSpaceDE/>
        <w:autoSpaceDN/>
        <w:bidi w:val="0"/>
        <w:adjustRightInd/>
        <w:spacing w:before="40" w:beforeAutospacing="0" w:after="0" w:afterAutospacing="0" w:line="240" w:lineRule="auto"/>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b w:val="0"/>
          <w:bCs/>
          <w:sz w:val="28"/>
          <w:szCs w:val="28"/>
          <w:highlight w:val="none"/>
          <w:lang w:val="en-US" w:eastAsia="zh-CN"/>
        </w:rPr>
        <w:t>1、</w:t>
      </w:r>
      <w:r>
        <w:rPr>
          <w:rFonts w:hint="eastAsia" w:ascii="宋体" w:hAnsi="宋体" w:eastAsia="宋体" w:cs="宋体"/>
          <w:b w:val="0"/>
          <w:bCs/>
          <w:sz w:val="28"/>
          <w:szCs w:val="28"/>
          <w:highlight w:val="none"/>
          <w:lang w:eastAsia="zh-CN"/>
        </w:rPr>
        <w:t>创文经费</w:t>
      </w:r>
      <w:r>
        <w:rPr>
          <w:rFonts w:hint="eastAsia" w:ascii="宋体" w:hAnsi="宋体" w:eastAsia="宋体" w:cs="宋体"/>
          <w:b w:val="0"/>
          <w:bCs/>
          <w:sz w:val="28"/>
          <w:szCs w:val="28"/>
          <w:highlight w:val="none"/>
          <w:lang w:val="en-US" w:eastAsia="zh-CN"/>
        </w:rPr>
        <w:t>都是按先用后拨付的原则</w:t>
      </w:r>
      <w:r>
        <w:rPr>
          <w:rFonts w:hint="eastAsia" w:ascii="宋体" w:hAnsi="宋体" w:eastAsia="宋体" w:cs="宋体"/>
          <w:sz w:val="28"/>
          <w:szCs w:val="28"/>
          <w:highlight w:val="none"/>
        </w:rPr>
        <w:t>以老旧小区改造为重点，推进辖区从形象、以老旧小区改造为重点，</w:t>
      </w:r>
      <w:r>
        <w:rPr>
          <w:rFonts w:hint="eastAsia" w:ascii="宋体" w:hAnsi="宋体" w:eastAsia="宋体" w:cs="宋体"/>
          <w:sz w:val="28"/>
          <w:szCs w:val="28"/>
          <w:highlight w:val="none"/>
          <w:lang w:eastAsia="zh-CN"/>
        </w:rPr>
        <w:t>保持创文工作常化，</w:t>
      </w:r>
      <w:r>
        <w:rPr>
          <w:rFonts w:hint="eastAsia" w:ascii="宋体" w:hAnsi="宋体" w:eastAsia="宋体" w:cs="宋体"/>
          <w:sz w:val="28"/>
          <w:szCs w:val="28"/>
          <w:highlight w:val="none"/>
        </w:rPr>
        <w:t>推进辖区从形象、品质到城市功能全方位提升</w:t>
      </w:r>
      <w:r>
        <w:rPr>
          <w:rFonts w:hint="eastAsia" w:ascii="宋体" w:hAnsi="宋体" w:eastAsia="宋体" w:cs="宋体"/>
          <w:b w:val="0"/>
          <w:bCs/>
          <w:sz w:val="28"/>
          <w:szCs w:val="28"/>
          <w:highlight w:val="none"/>
          <w:lang w:val="en-US" w:eastAsia="zh-CN"/>
        </w:rPr>
        <w:t>进行，用款共计188000其中：（1）</w:t>
      </w:r>
      <w:r>
        <w:rPr>
          <w:rFonts w:hint="eastAsia" w:ascii="宋体" w:hAnsi="宋体" w:eastAsia="宋体" w:cs="宋体"/>
          <w:sz w:val="28"/>
          <w:szCs w:val="28"/>
          <w:highlight w:val="none"/>
          <w:lang w:eastAsia="zh-CN"/>
        </w:rPr>
        <w:t>区城管局拨胜阳港街道创文迎国检增补人员经费78000元；按实际人数和天数，每人</w:t>
      </w:r>
      <w:r>
        <w:rPr>
          <w:rFonts w:hint="eastAsia" w:ascii="宋体" w:hAnsi="宋体" w:eastAsia="宋体" w:cs="宋体"/>
          <w:sz w:val="28"/>
          <w:szCs w:val="28"/>
          <w:highlight w:val="none"/>
          <w:lang w:val="en-US" w:eastAsia="zh-CN"/>
        </w:rPr>
        <w:t>100元/人</w:t>
      </w:r>
      <w:r>
        <w:rPr>
          <w:rFonts w:hint="eastAsia" w:ascii="宋体" w:hAnsi="宋体" w:eastAsia="宋体" w:cs="宋体"/>
          <w:sz w:val="28"/>
          <w:szCs w:val="28"/>
          <w:highlight w:val="none"/>
          <w:lang w:eastAsia="zh-CN"/>
        </w:rPr>
        <w:t xml:space="preserve">拨付 。               </w:t>
      </w:r>
      <w:r>
        <w:rPr>
          <w:rFonts w:hint="eastAsia" w:ascii="宋体" w:hAnsi="宋体" w:eastAsia="宋体" w:cs="宋体"/>
          <w:sz w:val="28"/>
          <w:szCs w:val="28"/>
          <w:highlight w:val="none"/>
          <w:lang w:val="en-US" w:eastAsia="zh-CN"/>
        </w:rPr>
        <w:t xml:space="preserve">                     （</w:t>
      </w:r>
      <w:r>
        <w:rPr>
          <w:rFonts w:hint="eastAsia" w:ascii="宋体" w:hAnsi="宋体" w:eastAsia="宋体" w:cs="宋体"/>
          <w:b w:val="0"/>
          <w:bCs/>
          <w:sz w:val="28"/>
          <w:szCs w:val="28"/>
          <w:highlight w:val="none"/>
          <w:lang w:val="en-US" w:eastAsia="zh-CN"/>
        </w:rPr>
        <w:t>2）</w:t>
      </w:r>
      <w:r>
        <w:rPr>
          <w:rFonts w:hint="eastAsia" w:ascii="宋体" w:hAnsi="宋体" w:eastAsia="宋体" w:cs="宋体"/>
          <w:sz w:val="28"/>
          <w:szCs w:val="28"/>
          <w:highlight w:val="none"/>
          <w:lang w:eastAsia="zh-CN"/>
        </w:rPr>
        <w:t>、区城管局拨文化宫社区创文工作经费1万元；</w:t>
      </w:r>
    </w:p>
    <w:p w14:paraId="0D4B8F3D">
      <w:pPr>
        <w:pStyle w:val="6"/>
        <w:keepNext w:val="0"/>
        <w:keepLines w:val="0"/>
        <w:pageBreakBefore w:val="0"/>
        <w:widowControl/>
        <w:numPr>
          <w:ilvl w:val="0"/>
          <w:numId w:val="0"/>
        </w:numPr>
        <w:kinsoku/>
        <w:overflowPunct/>
        <w:topLinePunct w:val="0"/>
        <w:autoSpaceDE/>
        <w:autoSpaceDN/>
        <w:bidi w:val="0"/>
        <w:adjustRightInd/>
        <w:spacing w:before="40" w:beforeAutospacing="0" w:after="0" w:afterAutospacing="0" w:line="585" w:lineRule="atLeast"/>
        <w:textAlignment w:val="auto"/>
        <w:rPr>
          <w:rStyle w:val="9"/>
          <w:rFonts w:hint="eastAsia" w:ascii="宋体" w:hAnsi="宋体" w:eastAsia="宋体" w:cs="宋体"/>
          <w:color w:val="333333"/>
          <w:kern w:val="0"/>
          <w:sz w:val="24"/>
          <w:highlight w:val="none"/>
          <w:shd w:val="clear" w:color="auto" w:fill="FFFFFF"/>
        </w:rPr>
      </w:pPr>
      <w:r>
        <w:rPr>
          <w:rFonts w:hint="eastAsia" w:ascii="宋体" w:hAnsi="宋体" w:eastAsia="宋体" w:cs="宋体"/>
          <w:sz w:val="28"/>
          <w:szCs w:val="28"/>
          <w:highlight w:val="none"/>
          <w:lang w:eastAsia="zh-CN"/>
        </w:rPr>
        <w:t>（3）、区城管局拨钟楼社区支持钟楼社区创文工10万元；全部用于该社区老旧社区改造</w:t>
      </w:r>
    </w:p>
    <w:p w14:paraId="3CC2312C">
      <w:pPr>
        <w:keepNext w:val="0"/>
        <w:keepLines w:val="0"/>
        <w:pageBreakBefore w:val="0"/>
        <w:kinsoku/>
        <w:overflowPunct/>
        <w:topLinePunct w:val="0"/>
        <w:autoSpaceDE/>
        <w:autoSpaceDN/>
        <w:bidi w:val="0"/>
        <w:adjustRightInd/>
        <w:snapToGrid w:val="0"/>
        <w:spacing w:before="40" w:line="520" w:lineRule="exact"/>
        <w:ind w:firstLine="560" w:firstLineChars="200"/>
        <w:textAlignment w:val="auto"/>
        <w:rPr>
          <w:rStyle w:val="9"/>
          <w:rFonts w:hint="eastAsia" w:ascii="宋体" w:hAnsi="宋体" w:eastAsia="宋体" w:cs="宋体"/>
          <w:b w:val="0"/>
          <w:bCs/>
          <w:color w:val="333333"/>
          <w:kern w:val="0"/>
          <w:sz w:val="24"/>
          <w:highlight w:val="none"/>
          <w:shd w:val="clear" w:color="auto" w:fill="FFFFFF"/>
          <w:lang w:val="en-US" w:eastAsia="zh-CN"/>
        </w:rPr>
      </w:pPr>
      <w:r>
        <w:rPr>
          <w:rFonts w:hint="eastAsia" w:ascii="宋体" w:hAnsi="宋体" w:eastAsia="宋体" w:cs="宋体"/>
          <w:kern w:val="0"/>
          <w:sz w:val="28"/>
          <w:szCs w:val="28"/>
          <w:highlight w:val="none"/>
          <w:lang w:val="en-US" w:eastAsia="zh-CN" w:bidi="ar-SA"/>
        </w:rPr>
        <w:t>2、防疫资金共计12万元，用于疫情期间购置防疫物资，组织开展社区全域核酸检测，落实外防输入，加强排查管控，确保国内重点地区回黄和境外回黄人员隔离管控到位、核酸筛查到位、医疗救治到位、环境消杀到位，疫苗接种宣传到位做到“应种尽种”。保</w:t>
      </w:r>
      <w:r>
        <w:rPr>
          <w:rStyle w:val="9"/>
          <w:rFonts w:hint="eastAsia" w:ascii="宋体" w:hAnsi="宋体" w:eastAsia="宋体" w:cs="宋体"/>
          <w:b w:val="0"/>
          <w:bCs/>
          <w:color w:val="333333"/>
          <w:kern w:val="0"/>
          <w:sz w:val="24"/>
          <w:highlight w:val="none"/>
          <w:shd w:val="clear" w:color="auto" w:fill="FFFFFF"/>
          <w:lang w:val="en-US" w:eastAsia="zh-CN"/>
        </w:rPr>
        <w:t>障防疫工作正常运转</w:t>
      </w:r>
    </w:p>
    <w:p w14:paraId="71B8B652">
      <w:pPr>
        <w:keepNext w:val="0"/>
        <w:keepLines w:val="0"/>
        <w:pageBreakBefore w:val="0"/>
        <w:kinsoku/>
        <w:overflowPunct/>
        <w:topLinePunct w:val="0"/>
        <w:autoSpaceDE/>
        <w:autoSpaceDN/>
        <w:bidi w:val="0"/>
        <w:adjustRightInd/>
        <w:snapToGrid w:val="0"/>
        <w:spacing w:before="40" w:line="520" w:lineRule="exact"/>
        <w:ind w:firstLine="560" w:firstLineChars="200"/>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（1)、黄石港慈善会捐赠防疫资金100000元</w:t>
      </w:r>
    </w:p>
    <w:p w14:paraId="5F507E43">
      <w:pPr>
        <w:keepNext w:val="0"/>
        <w:keepLines w:val="0"/>
        <w:pageBreakBefore w:val="0"/>
        <w:kinsoku/>
        <w:overflowPunct/>
        <w:topLinePunct w:val="0"/>
        <w:autoSpaceDE/>
        <w:autoSpaceDN/>
        <w:bidi w:val="0"/>
        <w:adjustRightInd/>
        <w:snapToGrid w:val="0"/>
        <w:spacing w:before="40" w:line="520" w:lineRule="exact"/>
        <w:ind w:firstLine="560" w:firstLineChars="200"/>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（2)、黄石港慈善总会拨防疫资金20000元</w:t>
      </w:r>
    </w:p>
    <w:tbl>
      <w:tblPr>
        <w:tblStyle w:val="7"/>
        <w:tblW w:w="124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5"/>
        <w:gridCol w:w="913"/>
        <w:gridCol w:w="864"/>
        <w:gridCol w:w="739"/>
        <w:gridCol w:w="3962"/>
        <w:gridCol w:w="1673"/>
        <w:gridCol w:w="1520"/>
        <w:gridCol w:w="1520"/>
        <w:gridCol w:w="756"/>
      </w:tblGrid>
      <w:tr w14:paraId="75C39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249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0685F">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2021年黄石港区区部门整体支出绩效自评表</w:t>
            </w:r>
          </w:p>
        </w:tc>
      </w:tr>
      <w:tr w14:paraId="13384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4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85DE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填报单位</w:t>
            </w:r>
          </w:p>
          <w:p w14:paraId="733B74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（盖章）：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D946D">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黄石市黄石港区</w:t>
            </w:r>
            <w:r>
              <w:rPr>
                <w:rFonts w:hint="eastAsia" w:ascii="宋体" w:hAnsi="宋体" w:cs="宋体"/>
                <w:i w:val="0"/>
                <w:iCs w:val="0"/>
                <w:color w:val="000000"/>
                <w:kern w:val="0"/>
                <w:sz w:val="22"/>
                <w:szCs w:val="22"/>
                <w:u w:val="none"/>
                <w:lang w:val="en-US" w:eastAsia="zh-CN" w:bidi="ar"/>
              </w:rPr>
              <w:t>胜阳港街道办事处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8B3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填报日期：</w:t>
            </w:r>
          </w:p>
        </w:tc>
        <w:tc>
          <w:tcPr>
            <w:tcW w:w="37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F905D">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2022.01.31</w:t>
            </w:r>
          </w:p>
        </w:tc>
      </w:tr>
      <w:tr w14:paraId="2F957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6B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C6C7F">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黄石市黄石港区</w:t>
            </w:r>
            <w:r>
              <w:rPr>
                <w:rFonts w:hint="eastAsia" w:ascii="宋体" w:hAnsi="宋体" w:cs="宋体"/>
                <w:i w:val="0"/>
                <w:iCs w:val="0"/>
                <w:color w:val="000000"/>
                <w:kern w:val="0"/>
                <w:sz w:val="22"/>
                <w:szCs w:val="22"/>
                <w:u w:val="none"/>
                <w:lang w:val="en-US" w:eastAsia="zh-CN" w:bidi="ar"/>
              </w:rPr>
              <w:t>胜阳港街道办事处</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01C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评价年度：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552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w:t>
            </w:r>
          </w:p>
        </w:tc>
      </w:tr>
      <w:tr w14:paraId="1FAEF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7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0DA9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部门整体支出总额预算</w:t>
            </w:r>
          </w:p>
          <w:p w14:paraId="4F32B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执行情况（万元）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7D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执行数（A）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34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预算数（B）</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DEA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执行率（A/B）</w:t>
            </w:r>
          </w:p>
        </w:tc>
      </w:tr>
      <w:tr w14:paraId="0E389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47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1417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A058">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09299">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1077</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B56D">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1.9</w:t>
            </w:r>
          </w:p>
        </w:tc>
      </w:tr>
      <w:tr w14:paraId="0D0C9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9C5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一级</w:t>
            </w:r>
          </w:p>
          <w:p w14:paraId="74E070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1E3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二级</w:t>
            </w:r>
          </w:p>
          <w:p w14:paraId="7D209A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50A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三级</w:t>
            </w:r>
          </w:p>
          <w:p w14:paraId="4A24F4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B0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85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4A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88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年初目标值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CF8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097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r>
      <w:tr w14:paraId="09ECA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62E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投入</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DC91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预算执行（35分）</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982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w:t>
            </w:r>
          </w:p>
          <w:p w14:paraId="01CB58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率（10分）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E0C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EC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预算完成率=（预算完成数/预算数）×100%，用以反映和考核部门（单位）预算完成程度。</w:t>
            </w:r>
          </w:p>
          <w:p w14:paraId="10BC33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预算完成数：部门（单位）本年度实际完成的预算数。</w:t>
            </w:r>
          </w:p>
          <w:p w14:paraId="54CC53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预算数：财政部分批复的本年度部门（单位）预算数。</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153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预算完成率=100%的，得10分</w:t>
            </w:r>
          </w:p>
          <w:p w14:paraId="1DC07D3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预算完成率≥95%的，得9分</w:t>
            </w:r>
          </w:p>
          <w:p w14:paraId="41649D8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预算完成率在90%（含）和95%之间，得8分</w:t>
            </w:r>
          </w:p>
          <w:p w14:paraId="64F1677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预算完成率在85%（含）和90%之间，得7分</w:t>
            </w:r>
          </w:p>
          <w:p w14:paraId="642D91E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预算完成率在80%（含）和85%之间，得6分。</w:t>
            </w:r>
          </w:p>
          <w:p w14:paraId="2D5E51B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预算完成率在70%(含）和80%之间，得4分。</w:t>
            </w:r>
          </w:p>
          <w:p w14:paraId="526F88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预算完成率＜70%的，得0分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B52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C6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D7E1C">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r>
      <w:tr w14:paraId="31DCF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F5C14">
            <w:pPr>
              <w:jc w:val="center"/>
              <w:rPr>
                <w:rFonts w:hint="eastAsia" w:ascii="宋体" w:hAnsi="宋体" w:eastAsia="宋体" w:cs="宋体"/>
                <w:i w:val="0"/>
                <w:iCs w:val="0"/>
                <w:color w:val="000000"/>
                <w:sz w:val="22"/>
                <w:szCs w:val="22"/>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52360">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BB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预算调整率（10分）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D4A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1E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预算调整率=（预算调整数/预算率）×100%，用以反映和考核部门（单位）预算的调整过程</w:t>
            </w:r>
          </w:p>
          <w:p w14:paraId="48C1EC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预算调整数：部门（单位）在本年度内涉及预算的追加、追减或结构调整的资金综合（因落实国家政策、发生不可抗力、上级部门或本级党委政府临时交办而产生的调整除外）。</w:t>
            </w:r>
          </w:p>
          <w:p w14:paraId="240F0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预算包括一般公共预算与政府性基金预算。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8A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预算调整率绝对值≤5%，得10分。</w:t>
            </w:r>
          </w:p>
          <w:p w14:paraId="44795A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预算调整率绝对值＞5%的，每增加0.1个百分点扣0.1分，扣完为止。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17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9F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C1338">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r>
      <w:tr w14:paraId="4CF57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57E4D">
            <w:pPr>
              <w:jc w:val="center"/>
              <w:rPr>
                <w:rFonts w:hint="eastAsia" w:ascii="宋体" w:hAnsi="宋体" w:eastAsia="宋体" w:cs="宋体"/>
                <w:i w:val="0"/>
                <w:iCs w:val="0"/>
                <w:color w:val="000000"/>
                <w:sz w:val="22"/>
                <w:szCs w:val="22"/>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B777A">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A8B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支出进度率</w:t>
            </w:r>
          </w:p>
          <w:p w14:paraId="1CB8E9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F3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8F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支出进度率=（实际支出/支出预算）×100%，用以反映和考核部门（单位）预算执行的及时性和均衡性程度。</w:t>
            </w:r>
          </w:p>
          <w:p w14:paraId="5584CD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半年支出进度＝部门上半年实际支出/（上年结余结转+本年部门预算安排+上半年执行中追加追减）*100%。</w:t>
            </w:r>
          </w:p>
          <w:p w14:paraId="2D1CF2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前三季度支出进度＝部门前三季度实际支出/（上年结余结转+本年部门预算安排+前三季度执行中追加追减）*100%。</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86A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半年进度：进度率≥45%，得4分；进度率在40%（含）和45%之间，得2分；进度率＜40%，得0分。</w:t>
            </w:r>
          </w:p>
          <w:p w14:paraId="7A9BA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前三季度进度：进度率≥75%，得6分；进度率在60%（含）和75%之间，得4分；进度率＜60%，得0分。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EC9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2EC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C7F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70FCD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198F6">
            <w:pPr>
              <w:jc w:val="center"/>
              <w:rPr>
                <w:rFonts w:hint="eastAsia" w:ascii="宋体" w:hAnsi="宋体" w:eastAsia="宋体" w:cs="宋体"/>
                <w:i w:val="0"/>
                <w:iCs w:val="0"/>
                <w:color w:val="000000"/>
                <w:sz w:val="22"/>
                <w:szCs w:val="22"/>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66C45">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E2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预算编制准确率（5分）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37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30C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部门预算中除财政拨款外的其他收入预算与决算差异率。</w:t>
            </w:r>
          </w:p>
          <w:p w14:paraId="2D9C7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预算编制准确率＝其他收入决算数/其他收入预算数×100%-100%。</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11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预算编制准确率≤20%，得5分。</w:t>
            </w:r>
          </w:p>
          <w:p w14:paraId="0FB8FD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预算编制准确率在20%和40%（含）之间，得3分。</w:t>
            </w:r>
          </w:p>
          <w:p w14:paraId="53B41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预算编制准确率＞40%，得0分。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E5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0FFF5">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D35C5">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r>
      <w:tr w14:paraId="4C0EE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49B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过程</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7929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预算管理（20分）</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D64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“三公”经费</w:t>
            </w:r>
            <w:r>
              <w:rPr>
                <w:rFonts w:hint="eastAsia" w:ascii="宋体" w:hAnsi="宋体" w:eastAsia="宋体" w:cs="宋体"/>
                <w:i w:val="0"/>
                <w:iCs w:val="0"/>
                <w:color w:val="000000"/>
                <w:kern w:val="0"/>
                <w:sz w:val="22"/>
                <w:szCs w:val="22"/>
                <w:u w:val="none"/>
                <w:lang w:val="en-US" w:eastAsia="zh-CN" w:bidi="ar"/>
              </w:rPr>
              <w:t>控制率</w:t>
            </w:r>
          </w:p>
          <w:p w14:paraId="469A2B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68B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B2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“三公”经费</w:t>
            </w:r>
            <w:r>
              <w:rPr>
                <w:rFonts w:hint="eastAsia" w:ascii="宋体" w:hAnsi="宋体" w:eastAsia="宋体" w:cs="宋体"/>
                <w:i w:val="0"/>
                <w:iCs w:val="0"/>
                <w:color w:val="000000"/>
                <w:kern w:val="0"/>
                <w:sz w:val="22"/>
                <w:szCs w:val="22"/>
                <w:u w:val="none"/>
                <w:lang w:val="en-US" w:eastAsia="zh-CN" w:bidi="ar"/>
              </w:rPr>
              <w:t>控制率=（</w:t>
            </w:r>
            <w:r>
              <w:rPr>
                <w:rFonts w:hint="eastAsia" w:ascii="宋体" w:hAnsi="宋体" w:cs="宋体"/>
                <w:i w:val="0"/>
                <w:iCs w:val="0"/>
                <w:color w:val="000000"/>
                <w:kern w:val="0"/>
                <w:sz w:val="22"/>
                <w:szCs w:val="22"/>
                <w:u w:val="none"/>
                <w:lang w:val="en-US" w:eastAsia="zh-CN" w:bidi="ar"/>
              </w:rPr>
              <w:t>“三公”经费</w:t>
            </w:r>
            <w:r>
              <w:rPr>
                <w:rFonts w:hint="eastAsia" w:ascii="宋体" w:hAnsi="宋体" w:eastAsia="宋体" w:cs="宋体"/>
                <w:i w:val="0"/>
                <w:iCs w:val="0"/>
                <w:color w:val="000000"/>
                <w:kern w:val="0"/>
                <w:sz w:val="22"/>
                <w:szCs w:val="22"/>
                <w:u w:val="none"/>
                <w:lang w:val="en-US" w:eastAsia="zh-CN" w:bidi="ar"/>
              </w:rPr>
              <w:t>实际支出数/</w:t>
            </w:r>
            <w:r>
              <w:rPr>
                <w:rFonts w:hint="eastAsia" w:ascii="宋体" w:hAnsi="宋体" w:cs="宋体"/>
                <w:i w:val="0"/>
                <w:iCs w:val="0"/>
                <w:color w:val="000000"/>
                <w:kern w:val="0"/>
                <w:sz w:val="22"/>
                <w:szCs w:val="22"/>
                <w:u w:val="none"/>
                <w:lang w:val="en-US" w:eastAsia="zh-CN" w:bidi="ar"/>
              </w:rPr>
              <w:t>“三公”经费</w:t>
            </w:r>
            <w:r>
              <w:rPr>
                <w:rFonts w:hint="eastAsia" w:ascii="宋体" w:hAnsi="宋体" w:eastAsia="宋体" w:cs="宋体"/>
                <w:i w:val="0"/>
                <w:iCs w:val="0"/>
                <w:color w:val="000000"/>
                <w:kern w:val="0"/>
                <w:sz w:val="22"/>
                <w:szCs w:val="22"/>
                <w:u w:val="none"/>
                <w:lang w:val="en-US" w:eastAsia="zh-CN" w:bidi="ar"/>
              </w:rPr>
              <w:t>预算安排数）×100%，用以反映和考核部门（单位）对</w:t>
            </w:r>
            <w:r>
              <w:rPr>
                <w:rFonts w:hint="eastAsia" w:ascii="宋体" w:hAnsi="宋体" w:cs="宋体"/>
                <w:i w:val="0"/>
                <w:iCs w:val="0"/>
                <w:color w:val="000000"/>
                <w:kern w:val="0"/>
                <w:sz w:val="22"/>
                <w:szCs w:val="22"/>
                <w:u w:val="none"/>
                <w:lang w:val="en-US" w:eastAsia="zh-CN" w:bidi="ar"/>
              </w:rPr>
              <w:t>“三公”经费</w:t>
            </w:r>
            <w:r>
              <w:rPr>
                <w:rFonts w:hint="eastAsia" w:ascii="宋体" w:hAnsi="宋体" w:eastAsia="宋体" w:cs="宋体"/>
                <w:i w:val="0"/>
                <w:iCs w:val="0"/>
                <w:color w:val="000000"/>
                <w:kern w:val="0"/>
                <w:sz w:val="22"/>
                <w:szCs w:val="22"/>
                <w:u w:val="none"/>
                <w:lang w:val="en-US" w:eastAsia="zh-CN" w:bidi="ar"/>
              </w:rPr>
              <w:t>的实际控制程度。</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7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三公经费控制率 ≤100%，得5分，每增加0.1个百分点扣0.5分，扣完为止。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C4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C3A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F16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2D822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C0127">
            <w:pPr>
              <w:jc w:val="center"/>
              <w:rPr>
                <w:rFonts w:hint="eastAsia" w:ascii="宋体" w:hAnsi="宋体" w:eastAsia="宋体" w:cs="宋体"/>
                <w:i w:val="0"/>
                <w:iCs w:val="0"/>
                <w:color w:val="000000"/>
                <w:sz w:val="22"/>
                <w:szCs w:val="22"/>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4AA03">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45C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资产管理规范性</w:t>
            </w:r>
          </w:p>
          <w:p w14:paraId="63B8E6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（5分）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94C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A9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部门（单位）资产管理是否规范，用以反映和考核部门（单位）资产管理情况。</w:t>
            </w:r>
          </w:p>
          <w:p w14:paraId="4865A6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1.新增资产配置按预算执行。</w:t>
            </w:r>
          </w:p>
          <w:p w14:paraId="522AB2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2.资产有偿使用、处置按规定程序审批。</w:t>
            </w:r>
          </w:p>
          <w:p w14:paraId="3CF3E8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3.资产收益及时、足额上缴财政。</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16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全部符合5分，有1项不符扣2分,扣完为止。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1D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5B9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9FB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1E6A4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EA37F">
            <w:pPr>
              <w:jc w:val="center"/>
              <w:rPr>
                <w:rFonts w:hint="eastAsia" w:ascii="宋体" w:hAnsi="宋体" w:eastAsia="宋体" w:cs="宋体"/>
                <w:i w:val="0"/>
                <w:iCs w:val="0"/>
                <w:color w:val="000000"/>
                <w:sz w:val="22"/>
                <w:szCs w:val="22"/>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99C66">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425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资金使用合规性</w:t>
            </w:r>
          </w:p>
          <w:p w14:paraId="61F58C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67E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C5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部门（单位）使用预算资金是否符合相关的预算财务管理制度的规定，用以反映和考核部门（单位）预算资金的规范运行情况。</w:t>
            </w:r>
          </w:p>
          <w:p w14:paraId="5865C2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1.符合国家财经法规和财务管理制度规定以及有关专项资金管理办法的规定；</w:t>
            </w:r>
          </w:p>
          <w:p w14:paraId="70801B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2.资金的拨付有完整的审批程序和手续；</w:t>
            </w:r>
          </w:p>
          <w:p w14:paraId="67B0E0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3.重大项目开支经过评估论证；</w:t>
            </w:r>
          </w:p>
          <w:p w14:paraId="63A8A6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4.符合部门预算批复的用途；</w:t>
            </w:r>
          </w:p>
          <w:p w14:paraId="519B3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5.不存在截留、挤占、挪用、虚列支出等情况。</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BB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全部符合10分,有1项不符扣2分，扣完为止。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37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5A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45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06632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60A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效果</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3B1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运行效益（45分）</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62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行政运行经济性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7C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50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现行行政运行经费支出预算编制方法的行政运行成本。</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4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可使行政运行成本最经济为5分，可使行政运行成本较合理为3分，一般为2分，不合理为0分。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3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B52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896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46AD2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69D8B">
            <w:pPr>
              <w:jc w:val="center"/>
              <w:rPr>
                <w:rFonts w:hint="eastAsia" w:ascii="宋体" w:hAnsi="宋体" w:eastAsia="宋体" w:cs="宋体"/>
                <w:i w:val="0"/>
                <w:iCs w:val="0"/>
                <w:color w:val="000000"/>
                <w:sz w:val="22"/>
                <w:szCs w:val="22"/>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F6CDB">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0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行政运行有效性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35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D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行政运行经费支出能否保障部门正常运行。</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46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正常运行的得5分，基本正常得3分，不能正常运行的不得分。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FD7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4E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D20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1A8BA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5C5EE">
            <w:pPr>
              <w:jc w:val="center"/>
              <w:rPr>
                <w:rFonts w:hint="eastAsia" w:ascii="宋体" w:hAnsi="宋体" w:eastAsia="宋体" w:cs="宋体"/>
                <w:i w:val="0"/>
                <w:iCs w:val="0"/>
                <w:color w:val="000000"/>
                <w:sz w:val="22"/>
                <w:szCs w:val="22"/>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A01D6">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4E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专项运行经济效益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488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C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项目资金运行产生的经济效益</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C3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经济效益显著得10分；一般得5分，下降不得分。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D39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A48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6EA14">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r>
      <w:tr w14:paraId="4B0B4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7E5D2">
            <w:pPr>
              <w:jc w:val="center"/>
              <w:rPr>
                <w:rFonts w:hint="eastAsia" w:ascii="宋体" w:hAnsi="宋体" w:eastAsia="宋体" w:cs="宋体"/>
                <w:i w:val="0"/>
                <w:iCs w:val="0"/>
                <w:color w:val="000000"/>
                <w:sz w:val="22"/>
                <w:szCs w:val="22"/>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86663">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87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专项运行社会效益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7BE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E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项目资金运行产生的社会效益</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AF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社会效益显著得10分；一般得5分；否则不得分。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69D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71D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17219">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r>
      <w:tr w14:paraId="0B414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2578F">
            <w:pPr>
              <w:jc w:val="center"/>
              <w:rPr>
                <w:rFonts w:hint="eastAsia" w:ascii="宋体" w:hAnsi="宋体" w:eastAsia="宋体" w:cs="宋体"/>
                <w:i w:val="0"/>
                <w:iCs w:val="0"/>
                <w:color w:val="000000"/>
                <w:sz w:val="22"/>
                <w:szCs w:val="22"/>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36962">
            <w:pPr>
              <w:jc w:val="center"/>
              <w:rPr>
                <w:rFonts w:hint="eastAsia" w:ascii="宋体" w:hAnsi="宋体" w:eastAsia="宋体" w:cs="宋体"/>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C4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专项运行可持续影响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04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2F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1.项目完成后有经费安排能满足项目持续运行需要；</w:t>
            </w:r>
          </w:p>
          <w:p w14:paraId="4CFC87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2.项目完成后有制度保障项目持续运行需要；</w:t>
            </w:r>
          </w:p>
          <w:p w14:paraId="172F4B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3.项目完成后有明确的项目管理机构、负责人对项目后继管理负责，满足持续运行需要。</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58F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全部符合15分,有1项不符扣5分，扣完为止。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46A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AC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283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4776A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E5E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评价结果（优、良、中、差）：优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94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  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BC393">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95</w:t>
            </w:r>
          </w:p>
        </w:tc>
      </w:tr>
    </w:tbl>
    <w:p w14:paraId="57F79C94">
      <w:pPr>
        <w:keepNext w:val="0"/>
        <w:keepLines w:val="0"/>
        <w:pageBreakBefore w:val="0"/>
        <w:kinsoku/>
        <w:overflowPunct/>
        <w:topLinePunct w:val="0"/>
        <w:autoSpaceDE/>
        <w:autoSpaceDN/>
        <w:bidi w:val="0"/>
        <w:adjustRightInd/>
        <w:snapToGrid w:val="0"/>
        <w:spacing w:before="40" w:line="520" w:lineRule="exact"/>
        <w:ind w:firstLine="560" w:firstLineChars="200"/>
        <w:textAlignment w:val="auto"/>
        <w:rPr>
          <w:rFonts w:hint="eastAsia" w:ascii="宋体" w:hAnsi="宋体" w:eastAsia="宋体" w:cs="宋体"/>
          <w:kern w:val="0"/>
          <w:sz w:val="28"/>
          <w:szCs w:val="28"/>
          <w:highlight w:val="none"/>
          <w:lang w:val="en-US" w:eastAsia="zh-CN" w:bidi="ar-SA"/>
        </w:rPr>
      </w:pPr>
    </w:p>
    <w:p w14:paraId="377ACE74">
      <w:pPr>
        <w:keepNext w:val="0"/>
        <w:keepLines w:val="0"/>
        <w:pageBreakBefore w:val="0"/>
        <w:kinsoku/>
        <w:overflowPunct/>
        <w:topLinePunct w:val="0"/>
        <w:autoSpaceDE/>
        <w:autoSpaceDN/>
        <w:bidi w:val="0"/>
        <w:adjustRightInd/>
        <w:snapToGrid w:val="0"/>
        <w:spacing w:before="40" w:line="520" w:lineRule="exact"/>
        <w:ind w:firstLine="560" w:firstLineChars="200"/>
        <w:textAlignment w:val="auto"/>
        <w:rPr>
          <w:rFonts w:hint="eastAsia" w:ascii="宋体" w:hAnsi="宋体" w:eastAsia="宋体" w:cs="宋体"/>
          <w:kern w:val="0"/>
          <w:sz w:val="28"/>
          <w:szCs w:val="28"/>
          <w:highlight w:val="none"/>
          <w:lang w:val="en-US" w:eastAsia="zh-CN" w:bidi="ar-SA"/>
        </w:rPr>
      </w:pPr>
    </w:p>
    <w:p w14:paraId="3FDA0D44">
      <w:pPr>
        <w:pStyle w:val="6"/>
        <w:keepNext w:val="0"/>
        <w:keepLines w:val="0"/>
        <w:pageBreakBefore w:val="0"/>
        <w:widowControl/>
        <w:numPr>
          <w:ilvl w:val="0"/>
          <w:numId w:val="5"/>
        </w:numPr>
        <w:kinsoku/>
        <w:overflowPunct/>
        <w:topLinePunct w:val="0"/>
        <w:autoSpaceDE/>
        <w:autoSpaceDN/>
        <w:bidi w:val="0"/>
        <w:adjustRightInd/>
        <w:spacing w:before="40" w:beforeAutospacing="0" w:after="76" w:afterAutospacing="0" w:line="450" w:lineRule="atLeast"/>
        <w:ind w:left="0" w:leftChars="0" w:firstLineChars="0"/>
        <w:textAlignment w:val="auto"/>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、决算收支增减变化情况</w:t>
      </w:r>
    </w:p>
    <w:p w14:paraId="7D64D075">
      <w:pPr>
        <w:keepNext w:val="0"/>
        <w:keepLines w:val="0"/>
        <w:pageBreakBefore w:val="0"/>
        <w:kinsoku/>
        <w:overflowPunct/>
        <w:topLinePunct w:val="0"/>
        <w:autoSpaceDE/>
        <w:autoSpaceDN/>
        <w:bidi w:val="0"/>
        <w:adjustRightInd/>
        <w:snapToGrid w:val="0"/>
        <w:spacing w:before="40" w:line="520" w:lineRule="exact"/>
        <w:ind w:firstLine="560" w:firstLineChars="200"/>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截止2021年12月31日，费用支出总额为2,051.78万元。相比2020年，费用支出增长了565.84万元,增长了38.08%，2021年机构改革后，由财政资金保障的区城管及工商局人员调入8人(其中2人退休)，新招入职事业编制人员7人．2020年8月社区干部工资薪金上调，87名人均涨幅1000元/月，2021年支出数含2020年度8-12月份增资额</w:t>
      </w:r>
    </w:p>
    <w:p w14:paraId="3A0906A4">
      <w:pPr>
        <w:keepNext w:val="0"/>
        <w:keepLines w:val="0"/>
        <w:pageBreakBefore w:val="0"/>
        <w:kinsoku/>
        <w:overflowPunct/>
        <w:topLinePunct w:val="0"/>
        <w:autoSpaceDE/>
        <w:autoSpaceDN/>
        <w:bidi w:val="0"/>
        <w:adjustRightInd/>
        <w:snapToGrid w:val="0"/>
        <w:spacing w:before="40" w:line="520" w:lineRule="exact"/>
        <w:ind w:firstLine="560" w:firstLineChars="200"/>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工资福利费用增长了590.85万元，比年初增长了105.46%，主要原因:（机构改革，人员增加，工资调整）</w:t>
      </w:r>
    </w:p>
    <w:p w14:paraId="4A8B0BF7">
      <w:pPr>
        <w:keepNext w:val="0"/>
        <w:keepLines w:val="0"/>
        <w:pageBreakBefore w:val="0"/>
        <w:kinsoku/>
        <w:overflowPunct/>
        <w:topLinePunct w:val="0"/>
        <w:autoSpaceDE/>
        <w:autoSpaceDN/>
        <w:bidi w:val="0"/>
        <w:adjustRightInd/>
        <w:snapToGrid w:val="0"/>
        <w:spacing w:before="40" w:line="520" w:lineRule="exact"/>
        <w:ind w:firstLine="560" w:firstLineChars="200"/>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商品和服务费用减少了24.15万元，比年初减少了2.63%，主要原因:（账务处理进行了调整，社区人员经费2020年度部份计入劳务费支出，由于该支出属于财政预算支出2021年调整至其他工资福利支出）</w:t>
      </w:r>
    </w:p>
    <w:p w14:paraId="4BA51A4C">
      <w:pPr>
        <w:keepNext w:val="0"/>
        <w:keepLines w:val="0"/>
        <w:pageBreakBefore w:val="0"/>
        <w:kinsoku/>
        <w:overflowPunct/>
        <w:topLinePunct w:val="0"/>
        <w:autoSpaceDE/>
        <w:autoSpaceDN/>
        <w:bidi w:val="0"/>
        <w:adjustRightInd/>
        <w:snapToGrid w:val="0"/>
        <w:spacing w:before="40" w:line="520" w:lineRule="exact"/>
        <w:ind w:firstLine="560" w:firstLineChars="200"/>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固定资产折旧费用减少了0.87万元，比年初减少了15.00%，主要原因:（2020年度报表中的通用调备折旧多计，本次</w:t>
      </w:r>
      <w:r>
        <w:rPr>
          <w:rFonts w:hint="eastAsia" w:ascii="宋体" w:hAnsi="宋体" w:cs="宋体"/>
          <w:kern w:val="0"/>
          <w:sz w:val="28"/>
          <w:szCs w:val="28"/>
          <w:highlight w:val="none"/>
          <w:lang w:val="en-US" w:eastAsia="zh-CN" w:bidi="ar-SA"/>
        </w:rPr>
        <w:t>根据</w:t>
      </w:r>
      <w:r>
        <w:rPr>
          <w:rFonts w:hint="eastAsia" w:ascii="宋体" w:hAnsi="宋体" w:eastAsia="宋体" w:cs="宋体"/>
          <w:kern w:val="0"/>
          <w:sz w:val="28"/>
          <w:szCs w:val="28"/>
          <w:highlight w:val="none"/>
          <w:lang w:val="en-US" w:eastAsia="zh-CN" w:bidi="ar-SA"/>
        </w:rPr>
        <w:t>实际情况进行调整）</w:t>
      </w:r>
    </w:p>
    <w:p w14:paraId="4142FBE6">
      <w:pPr>
        <w:keepNext w:val="0"/>
        <w:keepLines w:val="0"/>
        <w:pageBreakBefore w:val="0"/>
        <w:kinsoku/>
        <w:overflowPunct/>
        <w:topLinePunct w:val="0"/>
        <w:autoSpaceDE/>
        <w:autoSpaceDN/>
        <w:bidi w:val="0"/>
        <w:adjustRightInd/>
        <w:snapToGrid w:val="0"/>
        <w:spacing w:before="40" w:line="520" w:lineRule="exact"/>
        <w:ind w:firstLine="560" w:firstLineChars="200"/>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从各项费用构成情况看，其中：</w:t>
      </w:r>
    </w:p>
    <w:p w14:paraId="781923FC">
      <w:pPr>
        <w:keepNext w:val="0"/>
        <w:keepLines w:val="0"/>
        <w:pageBreakBefore w:val="0"/>
        <w:kinsoku/>
        <w:overflowPunct/>
        <w:topLinePunct w:val="0"/>
        <w:autoSpaceDE/>
        <w:autoSpaceDN/>
        <w:bidi w:val="0"/>
        <w:adjustRightInd/>
        <w:snapToGrid w:val="0"/>
        <w:spacing w:before="40" w:line="520" w:lineRule="exact"/>
        <w:ind w:firstLine="560" w:firstLineChars="200"/>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工资福利费用1,151.10万元，占总费用比重56.10%。</w:t>
      </w:r>
    </w:p>
    <w:p w14:paraId="2CD14FA8">
      <w:pPr>
        <w:keepNext w:val="0"/>
        <w:keepLines w:val="0"/>
        <w:pageBreakBefore w:val="0"/>
        <w:kinsoku/>
        <w:overflowPunct/>
        <w:topLinePunct w:val="0"/>
        <w:autoSpaceDE/>
        <w:autoSpaceDN/>
        <w:bidi w:val="0"/>
        <w:adjustRightInd/>
        <w:snapToGrid w:val="0"/>
        <w:spacing w:before="40" w:line="520" w:lineRule="exact"/>
        <w:ind w:firstLine="560" w:firstLineChars="200"/>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商品和服务费用895.58万元，占总费用比重43.65%。</w:t>
      </w:r>
    </w:p>
    <w:p w14:paraId="5EFA6C65">
      <w:pPr>
        <w:keepNext w:val="0"/>
        <w:keepLines w:val="0"/>
        <w:pageBreakBefore w:val="0"/>
        <w:kinsoku/>
        <w:overflowPunct/>
        <w:topLinePunct w:val="0"/>
        <w:autoSpaceDE/>
        <w:autoSpaceDN/>
        <w:bidi w:val="0"/>
        <w:adjustRightInd/>
        <w:snapToGrid w:val="0"/>
        <w:spacing w:before="40" w:line="520" w:lineRule="exact"/>
        <w:ind w:firstLine="560" w:firstLineChars="200"/>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固定资产折旧费用5.10万元，占总费用比重0.25%。</w:t>
      </w:r>
    </w:p>
    <w:p w14:paraId="2925CEC6">
      <w:pPr>
        <w:keepNext w:val="0"/>
        <w:keepLines w:val="0"/>
        <w:pageBreakBefore w:val="0"/>
        <w:kinsoku/>
        <w:overflowPunct/>
        <w:topLinePunct w:val="0"/>
        <w:autoSpaceDE/>
        <w:autoSpaceDN/>
        <w:bidi w:val="0"/>
        <w:adjustRightInd/>
        <w:snapToGrid w:val="0"/>
        <w:spacing w:before="40" w:line="520" w:lineRule="exact"/>
        <w:ind w:firstLine="560" w:firstLineChars="200"/>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政府部门费用构成和2020年相比发生重大变化的原因：（机构改革，人员增加，工资调整）</w:t>
      </w:r>
    </w:p>
    <w:p w14:paraId="11C6B2E7">
      <w:pPr>
        <w:keepNext w:val="0"/>
        <w:keepLines w:val="0"/>
        <w:pageBreakBefore w:val="0"/>
        <w:widowControl/>
        <w:shd w:val="clear" w:color="auto" w:fill="FFFFFF"/>
        <w:kinsoku/>
        <w:overflowPunct/>
        <w:topLinePunct w:val="0"/>
        <w:autoSpaceDE/>
        <w:autoSpaceDN/>
        <w:bidi w:val="0"/>
        <w:adjustRightInd/>
        <w:spacing w:before="40" w:line="560" w:lineRule="exact"/>
        <w:ind w:firstLine="241" w:firstLineChars="100"/>
        <w:jc w:val="left"/>
        <w:textAlignment w:val="auto"/>
        <w:rPr>
          <w:rStyle w:val="9"/>
          <w:rFonts w:hint="eastAsia" w:ascii="宋体" w:hAnsi="宋体" w:eastAsia="宋体" w:cs="宋体"/>
          <w:color w:val="333333"/>
          <w:kern w:val="0"/>
          <w:sz w:val="24"/>
          <w:shd w:val="clear" w:color="auto" w:fill="FFFFFF"/>
        </w:rPr>
      </w:pPr>
    </w:p>
    <w:p w14:paraId="313E0D3F">
      <w:pPr>
        <w:keepNext w:val="0"/>
        <w:keepLines w:val="0"/>
        <w:pageBreakBefore w:val="0"/>
        <w:widowControl/>
        <w:shd w:val="clear" w:color="auto" w:fill="FFFFFF"/>
        <w:kinsoku/>
        <w:overflowPunct/>
        <w:topLinePunct w:val="0"/>
        <w:autoSpaceDE/>
        <w:autoSpaceDN/>
        <w:bidi w:val="0"/>
        <w:adjustRightInd/>
        <w:spacing w:before="40" w:line="560" w:lineRule="exact"/>
        <w:ind w:firstLine="241" w:firstLineChars="100"/>
        <w:jc w:val="left"/>
        <w:textAlignment w:val="auto"/>
        <w:rPr>
          <w:rStyle w:val="9"/>
          <w:rFonts w:hint="eastAsia" w:ascii="宋体" w:hAnsi="宋体" w:eastAsia="宋体" w:cs="宋体"/>
          <w:color w:val="333333"/>
          <w:kern w:val="0"/>
          <w:sz w:val="24"/>
          <w:shd w:val="clear" w:color="auto" w:fill="FFFFFF"/>
        </w:rPr>
      </w:pPr>
    </w:p>
    <w:p w14:paraId="0F45196C">
      <w:pPr>
        <w:keepNext w:val="0"/>
        <w:keepLines w:val="0"/>
        <w:pageBreakBefore w:val="0"/>
        <w:widowControl/>
        <w:shd w:val="clear" w:color="auto" w:fill="FFFFFF"/>
        <w:kinsoku/>
        <w:overflowPunct/>
        <w:topLinePunct w:val="0"/>
        <w:autoSpaceDE/>
        <w:autoSpaceDN/>
        <w:bidi w:val="0"/>
        <w:adjustRightInd/>
        <w:spacing w:before="40" w:line="560" w:lineRule="exact"/>
        <w:ind w:firstLine="241" w:firstLineChars="100"/>
        <w:jc w:val="left"/>
        <w:textAlignment w:val="auto"/>
        <w:rPr>
          <w:rStyle w:val="9"/>
          <w:rFonts w:hint="eastAsia" w:ascii="宋体" w:hAnsi="宋体" w:eastAsia="宋体" w:cs="宋体"/>
          <w:color w:val="333333"/>
          <w:kern w:val="0"/>
          <w:sz w:val="24"/>
          <w:shd w:val="clear" w:color="auto" w:fill="FFFFFF"/>
        </w:rPr>
      </w:pPr>
    </w:p>
    <w:p w14:paraId="79EA9AA2">
      <w:pPr>
        <w:keepNext w:val="0"/>
        <w:keepLines w:val="0"/>
        <w:pageBreakBefore w:val="0"/>
        <w:widowControl/>
        <w:shd w:val="clear" w:color="auto" w:fill="FFFFFF"/>
        <w:kinsoku/>
        <w:overflowPunct/>
        <w:topLinePunct w:val="0"/>
        <w:autoSpaceDE/>
        <w:autoSpaceDN/>
        <w:bidi w:val="0"/>
        <w:adjustRightInd/>
        <w:spacing w:before="40" w:line="560" w:lineRule="exact"/>
        <w:ind w:firstLine="241" w:firstLineChars="100"/>
        <w:jc w:val="left"/>
        <w:textAlignment w:val="auto"/>
        <w:rPr>
          <w:rFonts w:hint="eastAsia" w:ascii="宋体" w:hAnsi="宋体" w:eastAsia="宋体" w:cs="宋体"/>
          <w:color w:val="333333"/>
          <w:kern w:val="0"/>
          <w:sz w:val="24"/>
          <w:shd w:val="clear" w:color="auto" w:fill="FFFFFF"/>
        </w:rPr>
      </w:pPr>
      <w:r>
        <w:rPr>
          <w:rStyle w:val="9"/>
          <w:rFonts w:hint="eastAsia" w:ascii="宋体" w:hAnsi="宋体" w:eastAsia="宋体" w:cs="宋体"/>
          <w:color w:val="333333"/>
          <w:kern w:val="0"/>
          <w:sz w:val="24"/>
          <w:shd w:val="clear" w:color="auto" w:fill="FFFFFF"/>
        </w:rPr>
        <w:t>第四部分：名词解释</w:t>
      </w:r>
      <w:r>
        <w:rPr>
          <w:rFonts w:hint="eastAsia" w:ascii="宋体" w:hAnsi="宋体" w:eastAsia="宋体" w:cs="宋体"/>
          <w:color w:val="333333"/>
          <w:kern w:val="0"/>
          <w:sz w:val="24"/>
          <w:shd w:val="clear" w:color="auto" w:fill="FFFFFF"/>
        </w:rPr>
        <w:t> </w:t>
      </w:r>
    </w:p>
    <w:p w14:paraId="3C3E02DA">
      <w:pPr>
        <w:keepNext w:val="0"/>
        <w:keepLines w:val="0"/>
        <w:pageBreakBefore w:val="0"/>
        <w:widowControl/>
        <w:shd w:val="clear" w:color="auto" w:fill="FFFFFF"/>
        <w:kinsoku/>
        <w:overflowPunct/>
        <w:topLinePunct w:val="0"/>
        <w:autoSpaceDE/>
        <w:autoSpaceDN/>
        <w:bidi w:val="0"/>
        <w:adjustRightInd/>
        <w:spacing w:before="40"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（一）财政拨款（补助）：指区级财政当年拨付的资金。</w:t>
      </w:r>
    </w:p>
    <w:p w14:paraId="31FB417B">
      <w:pPr>
        <w:keepNext w:val="0"/>
        <w:keepLines w:val="0"/>
        <w:pageBreakBefore w:val="0"/>
        <w:widowControl/>
        <w:shd w:val="clear" w:color="auto" w:fill="FFFFFF"/>
        <w:kinsoku/>
        <w:overflowPunct/>
        <w:topLinePunct w:val="0"/>
        <w:autoSpaceDE/>
        <w:autoSpaceDN/>
        <w:bidi w:val="0"/>
        <w:adjustRightInd/>
        <w:spacing w:before="40" w:line="56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 xml:space="preserve">（二）事业收入：指事业单位开展专业业务活动及其辅助活动取得的收入。 </w:t>
      </w:r>
    </w:p>
    <w:p w14:paraId="01F9638C">
      <w:pPr>
        <w:keepNext w:val="0"/>
        <w:keepLines w:val="0"/>
        <w:pageBreakBefore w:val="0"/>
        <w:widowControl/>
        <w:shd w:val="clear" w:color="auto" w:fill="FFFFFF"/>
        <w:kinsoku/>
        <w:overflowPunct/>
        <w:topLinePunct w:val="0"/>
        <w:autoSpaceDE/>
        <w:autoSpaceDN/>
        <w:bidi w:val="0"/>
        <w:adjustRightInd/>
        <w:spacing w:before="40" w:line="56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 xml:space="preserve">    （三）其他收入：指</w:t>
      </w:r>
      <w:r>
        <w:rPr>
          <w:rFonts w:hint="eastAsia" w:ascii="宋体" w:hAnsi="宋体" w:eastAsia="宋体" w:cs="宋体"/>
          <w:sz w:val="28"/>
          <w:szCs w:val="28"/>
          <w:lang w:eastAsia="zh-CN"/>
        </w:rPr>
        <w:t>决算</w:t>
      </w:r>
      <w:r>
        <w:rPr>
          <w:rFonts w:hint="eastAsia" w:ascii="宋体" w:hAnsi="宋体" w:eastAsia="宋体" w:cs="宋体"/>
          <w:sz w:val="28"/>
          <w:szCs w:val="28"/>
        </w:rPr>
        <w:t xml:space="preserve">单位在“财政拨款补助收入”、“事业收入”、“经营收入”以外取得的收入。 </w:t>
      </w:r>
    </w:p>
    <w:p w14:paraId="0559061F">
      <w:pPr>
        <w:keepNext w:val="0"/>
        <w:keepLines w:val="0"/>
        <w:pageBreakBefore w:val="0"/>
        <w:widowControl/>
        <w:shd w:val="clear" w:color="auto" w:fill="FFFFFF"/>
        <w:kinsoku/>
        <w:overflowPunct/>
        <w:topLinePunct w:val="0"/>
        <w:autoSpaceDE/>
        <w:autoSpaceDN/>
        <w:bidi w:val="0"/>
        <w:adjustRightInd/>
        <w:spacing w:before="40" w:line="56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 xml:space="preserve">    （四）上年结转：指以前年度尚未完成、结转到本年仍按原规定用途继续使用的资金。 </w:t>
      </w:r>
    </w:p>
    <w:p w14:paraId="57C9BF21">
      <w:pPr>
        <w:keepNext w:val="0"/>
        <w:keepLines w:val="0"/>
        <w:pageBreakBefore w:val="0"/>
        <w:widowControl/>
        <w:shd w:val="clear" w:color="auto" w:fill="FFFFFF"/>
        <w:kinsoku/>
        <w:overflowPunct/>
        <w:topLinePunct w:val="0"/>
        <w:autoSpaceDE/>
        <w:autoSpaceDN/>
        <w:bidi w:val="0"/>
        <w:adjustRightInd/>
        <w:spacing w:before="40" w:line="56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 xml:space="preserve">    （五）基本支出：指为保障机构正常运转、完成日常工作任务而发生的人员支出和公用支出。 </w:t>
      </w:r>
    </w:p>
    <w:p w14:paraId="3D1D85F2">
      <w:pPr>
        <w:keepNext w:val="0"/>
        <w:keepLines w:val="0"/>
        <w:pageBreakBefore w:val="0"/>
        <w:widowControl/>
        <w:shd w:val="clear" w:color="auto" w:fill="FFFFFF"/>
        <w:kinsoku/>
        <w:overflowPunct/>
        <w:topLinePunct w:val="0"/>
        <w:autoSpaceDE/>
        <w:autoSpaceDN/>
        <w:bidi w:val="0"/>
        <w:adjustRightInd/>
        <w:spacing w:before="40"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    （六）项目支出：指为完成特定的行政工作任务或事业发展目标，在基本支出之外发生的各项支出。</w:t>
      </w:r>
    </w:p>
    <w:p w14:paraId="2706E0BD">
      <w:pPr>
        <w:keepNext w:val="0"/>
        <w:keepLines w:val="0"/>
        <w:pageBreakBefore w:val="0"/>
        <w:widowControl/>
        <w:shd w:val="clear" w:color="auto" w:fill="FFFFFF"/>
        <w:kinsoku/>
        <w:overflowPunct/>
        <w:topLinePunct w:val="0"/>
        <w:autoSpaceDE/>
        <w:autoSpaceDN/>
        <w:bidi w:val="0"/>
        <w:adjustRightInd/>
        <w:spacing w:before="40"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1466C2FE">
      <w:pPr>
        <w:keepNext w:val="0"/>
        <w:keepLines w:val="0"/>
        <w:pageBreakBefore w:val="0"/>
        <w:widowControl/>
        <w:shd w:val="clear" w:color="auto" w:fill="FFFFFF"/>
        <w:kinsoku/>
        <w:overflowPunct/>
        <w:topLinePunct w:val="0"/>
        <w:autoSpaceDE/>
        <w:autoSpaceDN/>
        <w:bidi w:val="0"/>
        <w:adjustRightInd/>
        <w:spacing w:before="40"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（八）行政运行（项）：指机关和实行公务员法管理事业单位用于保障机构正常运转的基本支出。</w:t>
      </w:r>
    </w:p>
    <w:p w14:paraId="7D66E75B">
      <w:pPr>
        <w:pStyle w:val="6"/>
        <w:keepNext w:val="0"/>
        <w:keepLines w:val="0"/>
        <w:pageBreakBefore w:val="0"/>
        <w:widowControl/>
        <w:kinsoku/>
        <w:overflowPunct/>
        <w:topLinePunct w:val="0"/>
        <w:autoSpaceDE/>
        <w:autoSpaceDN/>
        <w:bidi w:val="0"/>
        <w:adjustRightInd/>
        <w:spacing w:before="40" w:beforeAutospacing="0" w:after="0" w:afterAutospacing="0" w:line="585" w:lineRule="atLeast"/>
        <w:ind w:firstLine="480" w:firstLineChars="200"/>
        <w:textAlignment w:val="auto"/>
        <w:rPr>
          <w:rFonts w:hint="eastAsia" w:ascii="宋体" w:hAnsi="宋体" w:eastAsia="宋体" w:cs="宋体"/>
        </w:rPr>
      </w:pPr>
    </w:p>
    <w:sectPr>
      <w:footerReference r:id="rId3" w:type="default"/>
      <w:pgSz w:w="16838" w:h="11906" w:orient="landscape"/>
      <w:pgMar w:top="1800" w:right="1440" w:bottom="180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ED5DF">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8C624F">
                          <w:pPr>
                            <w:pStyle w:val="4"/>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58C624F">
                    <w:pPr>
                      <w:pStyle w:val="4"/>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EE0ABC"/>
    <w:multiLevelType w:val="singleLevel"/>
    <w:tmpl w:val="D3EE0ABC"/>
    <w:lvl w:ilvl="0" w:tentative="0">
      <w:start w:val="4"/>
      <w:numFmt w:val="chineseCounting"/>
      <w:suff w:val="nothing"/>
      <w:lvlText w:val="（%1）"/>
      <w:lvlJc w:val="left"/>
      <w:rPr>
        <w:rFonts w:hint="eastAsia"/>
      </w:rPr>
    </w:lvl>
  </w:abstractNum>
  <w:abstractNum w:abstractNumId="1">
    <w:nsid w:val="3F828D1D"/>
    <w:multiLevelType w:val="singleLevel"/>
    <w:tmpl w:val="3F828D1D"/>
    <w:lvl w:ilvl="0" w:tentative="0">
      <w:start w:val="1"/>
      <w:numFmt w:val="chineseCounting"/>
      <w:suff w:val="nothing"/>
      <w:lvlText w:val="%1、"/>
      <w:lvlJc w:val="left"/>
      <w:rPr>
        <w:rFonts w:hint="eastAsia"/>
      </w:rPr>
    </w:lvl>
  </w:abstractNum>
  <w:abstractNum w:abstractNumId="2">
    <w:nsid w:val="421776CD"/>
    <w:multiLevelType w:val="singleLevel"/>
    <w:tmpl w:val="421776CD"/>
    <w:lvl w:ilvl="0" w:tentative="0">
      <w:start w:val="7"/>
      <w:numFmt w:val="chineseCounting"/>
      <w:suff w:val="nothing"/>
      <w:lvlText w:val="（%1）"/>
      <w:lvlJc w:val="left"/>
      <w:pPr>
        <w:ind w:left="-420"/>
      </w:pPr>
      <w:rPr>
        <w:rFonts w:hint="eastAsia"/>
      </w:rPr>
    </w:lvl>
  </w:abstractNum>
  <w:abstractNum w:abstractNumId="3">
    <w:nsid w:val="47A3FF70"/>
    <w:multiLevelType w:val="singleLevel"/>
    <w:tmpl w:val="47A3FF70"/>
    <w:lvl w:ilvl="0" w:tentative="0">
      <w:start w:val="1"/>
      <w:numFmt w:val="chineseCounting"/>
      <w:suff w:val="nothing"/>
      <w:lvlText w:val="%1、"/>
      <w:lvlJc w:val="left"/>
      <w:rPr>
        <w:rFonts w:hint="eastAsia"/>
      </w:rPr>
    </w:lvl>
  </w:abstractNum>
  <w:abstractNum w:abstractNumId="4">
    <w:nsid w:val="5070B3F9"/>
    <w:multiLevelType w:val="singleLevel"/>
    <w:tmpl w:val="5070B3F9"/>
    <w:lvl w:ilvl="0" w:tentative="0">
      <w:start w:val="3"/>
      <w:numFmt w:val="decimal"/>
      <w:suff w:val="nothing"/>
      <w:lvlText w:val="（%1）"/>
      <w:lvlJc w:val="left"/>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0MjZhZWQxZDJkN2Q1OTIxZTI5MTJlYjM0YzA0NjQifQ=="/>
  </w:docVars>
  <w:rsids>
    <w:rsidRoot w:val="55403DF7"/>
    <w:rsid w:val="0001348C"/>
    <w:rsid w:val="000174D0"/>
    <w:rsid w:val="00036F66"/>
    <w:rsid w:val="00040F87"/>
    <w:rsid w:val="00045B5B"/>
    <w:rsid w:val="0005426C"/>
    <w:rsid w:val="000642D8"/>
    <w:rsid w:val="00083031"/>
    <w:rsid w:val="000C5BAF"/>
    <w:rsid w:val="000F5C47"/>
    <w:rsid w:val="00111F12"/>
    <w:rsid w:val="00142BAF"/>
    <w:rsid w:val="00144D41"/>
    <w:rsid w:val="00160079"/>
    <w:rsid w:val="00161F75"/>
    <w:rsid w:val="00177A50"/>
    <w:rsid w:val="00183B02"/>
    <w:rsid w:val="001903D2"/>
    <w:rsid w:val="00195C90"/>
    <w:rsid w:val="001B3819"/>
    <w:rsid w:val="001C2B32"/>
    <w:rsid w:val="001D7AA5"/>
    <w:rsid w:val="0022746B"/>
    <w:rsid w:val="0024107E"/>
    <w:rsid w:val="002548C4"/>
    <w:rsid w:val="002577A1"/>
    <w:rsid w:val="00271324"/>
    <w:rsid w:val="002865A3"/>
    <w:rsid w:val="00293F0E"/>
    <w:rsid w:val="002A0349"/>
    <w:rsid w:val="002A64C5"/>
    <w:rsid w:val="002A6854"/>
    <w:rsid w:val="002B0615"/>
    <w:rsid w:val="002B35A9"/>
    <w:rsid w:val="002B6DCF"/>
    <w:rsid w:val="002E4195"/>
    <w:rsid w:val="002E769A"/>
    <w:rsid w:val="002F2D80"/>
    <w:rsid w:val="00300C86"/>
    <w:rsid w:val="00321081"/>
    <w:rsid w:val="00324BDD"/>
    <w:rsid w:val="00342611"/>
    <w:rsid w:val="00362247"/>
    <w:rsid w:val="0037390F"/>
    <w:rsid w:val="00374E82"/>
    <w:rsid w:val="003C5494"/>
    <w:rsid w:val="003C62AB"/>
    <w:rsid w:val="003C675A"/>
    <w:rsid w:val="003E0016"/>
    <w:rsid w:val="003F7CAA"/>
    <w:rsid w:val="004072E2"/>
    <w:rsid w:val="004126C4"/>
    <w:rsid w:val="004255FA"/>
    <w:rsid w:val="0044409E"/>
    <w:rsid w:val="004603AF"/>
    <w:rsid w:val="00475940"/>
    <w:rsid w:val="004919C9"/>
    <w:rsid w:val="00495756"/>
    <w:rsid w:val="004B394C"/>
    <w:rsid w:val="004C58CF"/>
    <w:rsid w:val="004D7DB5"/>
    <w:rsid w:val="004E60C4"/>
    <w:rsid w:val="004F3EBC"/>
    <w:rsid w:val="00505352"/>
    <w:rsid w:val="00522225"/>
    <w:rsid w:val="00523282"/>
    <w:rsid w:val="0054487B"/>
    <w:rsid w:val="005A282C"/>
    <w:rsid w:val="005A7369"/>
    <w:rsid w:val="005B5C34"/>
    <w:rsid w:val="00621778"/>
    <w:rsid w:val="006413CA"/>
    <w:rsid w:val="006759D3"/>
    <w:rsid w:val="006A3FBE"/>
    <w:rsid w:val="006D383D"/>
    <w:rsid w:val="006F13E4"/>
    <w:rsid w:val="00710241"/>
    <w:rsid w:val="0071120F"/>
    <w:rsid w:val="007277F3"/>
    <w:rsid w:val="007319F2"/>
    <w:rsid w:val="007474FB"/>
    <w:rsid w:val="00760E50"/>
    <w:rsid w:val="0076521F"/>
    <w:rsid w:val="007715A3"/>
    <w:rsid w:val="007B3C24"/>
    <w:rsid w:val="007B4BAE"/>
    <w:rsid w:val="007D2B0A"/>
    <w:rsid w:val="007D4739"/>
    <w:rsid w:val="007D5555"/>
    <w:rsid w:val="007D71D1"/>
    <w:rsid w:val="007F6801"/>
    <w:rsid w:val="00835DDB"/>
    <w:rsid w:val="0085298B"/>
    <w:rsid w:val="008549D6"/>
    <w:rsid w:val="008659EC"/>
    <w:rsid w:val="00872B7A"/>
    <w:rsid w:val="008858E2"/>
    <w:rsid w:val="00886357"/>
    <w:rsid w:val="008A260F"/>
    <w:rsid w:val="008B110D"/>
    <w:rsid w:val="008C65D5"/>
    <w:rsid w:val="008D5649"/>
    <w:rsid w:val="008D7FC9"/>
    <w:rsid w:val="00926A8F"/>
    <w:rsid w:val="00933189"/>
    <w:rsid w:val="00933436"/>
    <w:rsid w:val="009363EE"/>
    <w:rsid w:val="00996000"/>
    <w:rsid w:val="009B4255"/>
    <w:rsid w:val="009C1767"/>
    <w:rsid w:val="009C2041"/>
    <w:rsid w:val="009E431F"/>
    <w:rsid w:val="00A138D5"/>
    <w:rsid w:val="00A53C33"/>
    <w:rsid w:val="00A57822"/>
    <w:rsid w:val="00AA6B7D"/>
    <w:rsid w:val="00AB6928"/>
    <w:rsid w:val="00AC46E0"/>
    <w:rsid w:val="00B35E06"/>
    <w:rsid w:val="00B44C01"/>
    <w:rsid w:val="00B54B62"/>
    <w:rsid w:val="00B611F2"/>
    <w:rsid w:val="00B91E1C"/>
    <w:rsid w:val="00B931B2"/>
    <w:rsid w:val="00B94DFE"/>
    <w:rsid w:val="00B9780B"/>
    <w:rsid w:val="00BA58BC"/>
    <w:rsid w:val="00BA6024"/>
    <w:rsid w:val="00BA7485"/>
    <w:rsid w:val="00BC77F3"/>
    <w:rsid w:val="00BD12D4"/>
    <w:rsid w:val="00BE7A20"/>
    <w:rsid w:val="00BF697C"/>
    <w:rsid w:val="00C05975"/>
    <w:rsid w:val="00C136F5"/>
    <w:rsid w:val="00C1680C"/>
    <w:rsid w:val="00C17661"/>
    <w:rsid w:val="00C33AF8"/>
    <w:rsid w:val="00C3422E"/>
    <w:rsid w:val="00C47445"/>
    <w:rsid w:val="00C5046C"/>
    <w:rsid w:val="00C55A7D"/>
    <w:rsid w:val="00C56B12"/>
    <w:rsid w:val="00C57395"/>
    <w:rsid w:val="00C76EBA"/>
    <w:rsid w:val="00CA07CE"/>
    <w:rsid w:val="00CA26EA"/>
    <w:rsid w:val="00CA67A9"/>
    <w:rsid w:val="00CC3826"/>
    <w:rsid w:val="00CC70FC"/>
    <w:rsid w:val="00CD0FFA"/>
    <w:rsid w:val="00CD1D80"/>
    <w:rsid w:val="00CF525C"/>
    <w:rsid w:val="00D01A5E"/>
    <w:rsid w:val="00D04567"/>
    <w:rsid w:val="00D0704E"/>
    <w:rsid w:val="00D1107C"/>
    <w:rsid w:val="00D12FAD"/>
    <w:rsid w:val="00D148E8"/>
    <w:rsid w:val="00D157F7"/>
    <w:rsid w:val="00D226FC"/>
    <w:rsid w:val="00D44255"/>
    <w:rsid w:val="00D46058"/>
    <w:rsid w:val="00D71AAA"/>
    <w:rsid w:val="00D80C5F"/>
    <w:rsid w:val="00DC6896"/>
    <w:rsid w:val="00DE4741"/>
    <w:rsid w:val="00E14DA4"/>
    <w:rsid w:val="00E30992"/>
    <w:rsid w:val="00E34F36"/>
    <w:rsid w:val="00E564DB"/>
    <w:rsid w:val="00E62E0E"/>
    <w:rsid w:val="00E67D59"/>
    <w:rsid w:val="00E7676E"/>
    <w:rsid w:val="00E97481"/>
    <w:rsid w:val="00EC0F9A"/>
    <w:rsid w:val="00ED6AFD"/>
    <w:rsid w:val="00EE74D1"/>
    <w:rsid w:val="00EF18EB"/>
    <w:rsid w:val="00EF4BD6"/>
    <w:rsid w:val="00EF6499"/>
    <w:rsid w:val="00EF715C"/>
    <w:rsid w:val="00EF76CA"/>
    <w:rsid w:val="00F25ECC"/>
    <w:rsid w:val="00F6296B"/>
    <w:rsid w:val="00F95681"/>
    <w:rsid w:val="00FB0164"/>
    <w:rsid w:val="00FB36B7"/>
    <w:rsid w:val="00FB3C99"/>
    <w:rsid w:val="00FE2E3E"/>
    <w:rsid w:val="01611507"/>
    <w:rsid w:val="02380E83"/>
    <w:rsid w:val="02415858"/>
    <w:rsid w:val="04C9495C"/>
    <w:rsid w:val="05121E5F"/>
    <w:rsid w:val="073360BD"/>
    <w:rsid w:val="07397B77"/>
    <w:rsid w:val="07FD2EB8"/>
    <w:rsid w:val="08D86F1C"/>
    <w:rsid w:val="09436A8B"/>
    <w:rsid w:val="0A1C5C55"/>
    <w:rsid w:val="0ABE3629"/>
    <w:rsid w:val="0DA67AEE"/>
    <w:rsid w:val="0E43752E"/>
    <w:rsid w:val="0F184516"/>
    <w:rsid w:val="0F597644"/>
    <w:rsid w:val="0F62002F"/>
    <w:rsid w:val="103F5AD3"/>
    <w:rsid w:val="1124008F"/>
    <w:rsid w:val="14C75907"/>
    <w:rsid w:val="153C6003"/>
    <w:rsid w:val="15E37A96"/>
    <w:rsid w:val="15FF01DE"/>
    <w:rsid w:val="182B52BA"/>
    <w:rsid w:val="190F03A8"/>
    <w:rsid w:val="19453626"/>
    <w:rsid w:val="1AB234B2"/>
    <w:rsid w:val="1AB71087"/>
    <w:rsid w:val="1AC437A4"/>
    <w:rsid w:val="1AFC74FE"/>
    <w:rsid w:val="1B366101"/>
    <w:rsid w:val="1CCC39F4"/>
    <w:rsid w:val="1D930E8E"/>
    <w:rsid w:val="204A3687"/>
    <w:rsid w:val="20BB0DFC"/>
    <w:rsid w:val="2432177F"/>
    <w:rsid w:val="266B0F78"/>
    <w:rsid w:val="26812549"/>
    <w:rsid w:val="2702368A"/>
    <w:rsid w:val="27E57B74"/>
    <w:rsid w:val="291458F7"/>
    <w:rsid w:val="2C1F4CDE"/>
    <w:rsid w:val="2D085772"/>
    <w:rsid w:val="2DE4602A"/>
    <w:rsid w:val="2FDF6C60"/>
    <w:rsid w:val="30D168C0"/>
    <w:rsid w:val="316F2E7D"/>
    <w:rsid w:val="31C03BD4"/>
    <w:rsid w:val="331D35FA"/>
    <w:rsid w:val="368816D2"/>
    <w:rsid w:val="38AA0644"/>
    <w:rsid w:val="38B02FB8"/>
    <w:rsid w:val="396106E4"/>
    <w:rsid w:val="3A0252D6"/>
    <w:rsid w:val="3A2E6C9B"/>
    <w:rsid w:val="3D7A6218"/>
    <w:rsid w:val="3E400EDA"/>
    <w:rsid w:val="3F5D5AA8"/>
    <w:rsid w:val="40D21EC7"/>
    <w:rsid w:val="41B13517"/>
    <w:rsid w:val="430622FC"/>
    <w:rsid w:val="447E2A20"/>
    <w:rsid w:val="44DB0BB3"/>
    <w:rsid w:val="47A9240E"/>
    <w:rsid w:val="47E373A8"/>
    <w:rsid w:val="4A8477C1"/>
    <w:rsid w:val="4ACA51DC"/>
    <w:rsid w:val="4B795E87"/>
    <w:rsid w:val="4E845DBB"/>
    <w:rsid w:val="50B213CE"/>
    <w:rsid w:val="51EF31CC"/>
    <w:rsid w:val="51F25639"/>
    <w:rsid w:val="52CB56EE"/>
    <w:rsid w:val="530234D9"/>
    <w:rsid w:val="541843A7"/>
    <w:rsid w:val="55403DF7"/>
    <w:rsid w:val="56AD45B2"/>
    <w:rsid w:val="577C44E3"/>
    <w:rsid w:val="5A5C0979"/>
    <w:rsid w:val="5B637E94"/>
    <w:rsid w:val="5BAA0FE7"/>
    <w:rsid w:val="5BC30CDE"/>
    <w:rsid w:val="5CA93FCD"/>
    <w:rsid w:val="5E5252BB"/>
    <w:rsid w:val="5E5C3995"/>
    <w:rsid w:val="5FAA5B11"/>
    <w:rsid w:val="652C579B"/>
    <w:rsid w:val="658355C3"/>
    <w:rsid w:val="66527405"/>
    <w:rsid w:val="67371D0C"/>
    <w:rsid w:val="69C732FC"/>
    <w:rsid w:val="6D807C9F"/>
    <w:rsid w:val="6D9E2FAE"/>
    <w:rsid w:val="6E2F16D5"/>
    <w:rsid w:val="6E5F273D"/>
    <w:rsid w:val="70E959A9"/>
    <w:rsid w:val="72A11576"/>
    <w:rsid w:val="734D4DE5"/>
    <w:rsid w:val="73A25B4E"/>
    <w:rsid w:val="76E61C4D"/>
    <w:rsid w:val="78E04934"/>
    <w:rsid w:val="7A4F0AB2"/>
    <w:rsid w:val="7E0021A0"/>
    <w:rsid w:val="7E3C6317"/>
    <w:rsid w:val="7FED0FD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10"/>
    <w:qFormat/>
    <w:uiPriority w:val="99"/>
    <w:pPr>
      <w:spacing w:beforeAutospacing="1" w:afterAutospacing="1"/>
      <w:jc w:val="left"/>
      <w:outlineLvl w:val="4"/>
    </w:pPr>
    <w:rPr>
      <w:rFonts w:ascii="宋体" w:hAnsi="宋体"/>
      <w:b/>
      <w:kern w:val="0"/>
      <w:sz w:val="20"/>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kern w:val="0"/>
      <w:sz w:val="24"/>
    </w:rPr>
  </w:style>
  <w:style w:type="character" w:styleId="9">
    <w:name w:val="Strong"/>
    <w:basedOn w:val="8"/>
    <w:qFormat/>
    <w:uiPriority w:val="99"/>
    <w:rPr>
      <w:rFonts w:cs="Times New Roman"/>
      <w:b/>
    </w:rPr>
  </w:style>
  <w:style w:type="character" w:customStyle="1" w:styleId="10">
    <w:name w:val="标题 5 Char"/>
    <w:basedOn w:val="8"/>
    <w:link w:val="2"/>
    <w:semiHidden/>
    <w:qFormat/>
    <w:uiPriority w:val="9"/>
    <w:rPr>
      <w:rFonts w:ascii="Calibri" w:hAnsi="Calibri"/>
      <w:b/>
      <w:bCs/>
      <w:sz w:val="28"/>
      <w:szCs w:val="28"/>
    </w:rPr>
  </w:style>
  <w:style w:type="character" w:customStyle="1" w:styleId="11">
    <w:name w:val="页眉 Char"/>
    <w:basedOn w:val="8"/>
    <w:link w:val="5"/>
    <w:semiHidden/>
    <w:qFormat/>
    <w:uiPriority w:val="99"/>
    <w:rPr>
      <w:rFonts w:ascii="Calibri" w:hAnsi="Calibri"/>
      <w:sz w:val="18"/>
      <w:szCs w:val="18"/>
    </w:rPr>
  </w:style>
  <w:style w:type="character" w:customStyle="1" w:styleId="12">
    <w:name w:val="页脚 Char"/>
    <w:basedOn w:val="8"/>
    <w:link w:val="4"/>
    <w:qFormat/>
    <w:locked/>
    <w:uiPriority w:val="99"/>
    <w:rPr>
      <w:rFonts w:ascii="Calibri" w:hAnsi="Calibri" w:eastAsia="宋体" w:cs="Times New Roman"/>
      <w:kern w:val="2"/>
      <w:sz w:val="18"/>
      <w:szCs w:val="18"/>
    </w:rPr>
  </w:style>
  <w:style w:type="character" w:customStyle="1" w:styleId="13">
    <w:name w:val="ca-2"/>
    <w:basedOn w:val="8"/>
    <w:qFormat/>
    <w:uiPriority w:val="99"/>
    <w:rPr>
      <w:rFonts w:cs="Times New Roman"/>
    </w:rPr>
  </w:style>
  <w:style w:type="character" w:customStyle="1" w:styleId="14">
    <w:name w:val="ca-3"/>
    <w:basedOn w:val="8"/>
    <w:qFormat/>
    <w:uiPriority w:val="99"/>
    <w:rPr>
      <w:rFonts w:cs="Times New Roman"/>
    </w:rPr>
  </w:style>
  <w:style w:type="paragraph" w:styleId="15">
    <w:name w:val="List Paragraph"/>
    <w:basedOn w:val="1"/>
    <w:qFormat/>
    <w:uiPriority w:val="99"/>
    <w:pPr>
      <w:ind w:firstLine="420" w:firstLineChars="200"/>
    </w:pPr>
  </w:style>
  <w:style w:type="character" w:customStyle="1" w:styleId="16">
    <w:name w:val="font51"/>
    <w:basedOn w:val="8"/>
    <w:qFormat/>
    <w:uiPriority w:val="0"/>
    <w:rPr>
      <w:rFonts w:ascii="微软雅黑" w:hAnsi="微软雅黑" w:eastAsia="微软雅黑" w:cs="微软雅黑"/>
      <w:b/>
      <w:color w:val="333333"/>
      <w:sz w:val="32"/>
      <w:szCs w:val="32"/>
      <w:u w:val="none"/>
    </w:rPr>
  </w:style>
  <w:style w:type="paragraph" w:customStyle="1"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8">
    <w:name w:val="正文缩进 + 首行缩进:  2 字符"/>
    <w:basedOn w:val="1"/>
    <w:qFormat/>
    <w:uiPriority w:val="0"/>
    <w:pPr>
      <w:spacing w:line="560" w:lineRule="exact"/>
      <w:ind w:firstLine="640"/>
    </w:pPr>
    <w:rPr>
      <w:rFonts w:ascii="仿宋" w:hAnsi="仿宋" w:cs="宋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25</Pages>
  <Words>2788</Words>
  <Characters>3206</Characters>
  <Lines>46</Lines>
  <Paragraphs>13</Paragraphs>
  <TotalTime>2</TotalTime>
  <ScaleCrop>false</ScaleCrop>
  <LinksUpToDate>false</LinksUpToDate>
  <CharactersWithSpaces>3216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2019-10-28T07:45:00Z</dcterms:created>
  <dc:creator>侒靜啲喧嘩</dc:creator>
  <cp:lastModifiedBy>英甾</cp:lastModifiedBy>
  <cp:lastPrinted>2019-10-24T08:46:00Z</cp:lastPrinted>
  <dcterms:modified xsi:type="dcterms:W3CDTF">2025-02-11T08:59:10Z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502BC8D91EED4BB8896908599C438C09_13</vt:lpwstr>
  </property>
  <property fmtid="{D5CDD505-2E9C-101B-9397-08002B2CF9AE}" pid="4" name="KSOTemplateDocerSaveRecord">
    <vt:lpwstr>eyJoZGlkIjoiMmEwODY1NTVkYWU2MmY3ZjA1NmUwM2E0YmM4MzhhNTAiLCJ1c2VySWQiOiIyNjYwNzM2MzQifQ==</vt:lpwstr>
  </property>
</Properties>
</file>