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lang w:eastAsia="zh-CN"/>
        </w:rPr>
        <w:t>统战</w:t>
      </w:r>
      <w:r>
        <w:rPr>
          <w:rFonts w:hint="eastAsia" w:ascii="微软雅黑" w:hAnsi="微软雅黑" w:eastAsia="微软雅黑" w:cs="微软雅黑"/>
          <w:color w:val="BC1010"/>
          <w:sz w:val="40"/>
          <w:szCs w:val="40"/>
          <w:shd w:val="clear" w:color="auto" w:fill="FFFFFF"/>
        </w:rPr>
        <w:t>部</w:t>
      </w:r>
      <w:r>
        <w:rPr>
          <w:rFonts w:hint="eastAsia" w:ascii="微软雅黑" w:hAnsi="微软雅黑" w:eastAsia="微软雅黑" w:cs="微软雅黑"/>
          <w:color w:val="BC1010"/>
          <w:sz w:val="40"/>
          <w:szCs w:val="40"/>
          <w:shd w:val="clear" w:color="auto" w:fill="FFFFFF"/>
          <w:lang w:eastAsia="zh-CN"/>
        </w:rPr>
        <w:t>20</w:t>
      </w:r>
      <w:r>
        <w:rPr>
          <w:rFonts w:hint="eastAsia" w:ascii="微软雅黑" w:hAnsi="微软雅黑" w:eastAsia="微软雅黑" w:cs="微软雅黑"/>
          <w:color w:val="BC1010"/>
          <w:sz w:val="40"/>
          <w:szCs w:val="40"/>
          <w:shd w:val="clear" w:color="auto" w:fill="FFFFFF"/>
          <w:lang w:val="en-US" w:eastAsia="zh-CN"/>
        </w:rPr>
        <w:t>21</w:t>
      </w:r>
      <w:r>
        <w:rPr>
          <w:rFonts w:hint="eastAsia" w:ascii="微软雅黑" w:hAnsi="微软雅黑" w:eastAsia="微软雅黑" w:cs="微软雅黑"/>
          <w:color w:val="BC1010"/>
          <w:sz w:val="40"/>
          <w:szCs w:val="40"/>
          <w:shd w:val="clear" w:color="auto" w:fill="FFFFFF"/>
          <w:lang w:eastAsia="zh-CN"/>
        </w:rPr>
        <w:t>年度</w:t>
      </w:r>
      <w:r>
        <w:rPr>
          <w:rFonts w:hint="eastAsia" w:ascii="微软雅黑" w:hAnsi="微软雅黑" w:eastAsia="微软雅黑" w:cs="微软雅黑"/>
          <w:color w:val="BC1010"/>
          <w:sz w:val="40"/>
          <w:szCs w:val="40"/>
          <w:shd w:val="clear" w:color="auto" w:fill="FFFFFF"/>
        </w:rPr>
        <w:t>决算公开</w:t>
      </w:r>
    </w:p>
    <w:p>
      <w:pPr>
        <w:pStyle w:val="3"/>
        <w:widowControl/>
        <w:spacing w:before="76" w:beforeAutospacing="0" w:after="76" w:afterAutospacing="0" w:line="450" w:lineRule="atLeast"/>
        <w:ind w:firstLine="420"/>
        <w:jc w:val="center"/>
        <w:rPr>
          <w:color w:val="333333"/>
        </w:rPr>
      </w:pPr>
      <w:r>
        <w:rPr>
          <w:rStyle w:val="6"/>
          <w:rFonts w:hint="eastAsia" w:ascii="微软雅黑" w:hAnsi="微软雅黑" w:eastAsia="微软雅黑" w:cs="微软雅黑"/>
          <w:color w:val="333333"/>
          <w:shd w:val="clear" w:color="auto" w:fill="FFFFFF"/>
        </w:rPr>
        <w:t>黄石港区</w:t>
      </w:r>
      <w:r>
        <w:rPr>
          <w:rStyle w:val="6"/>
          <w:rFonts w:hint="eastAsia" w:ascii="微软雅黑" w:hAnsi="微软雅黑" w:eastAsia="微软雅黑" w:cs="微软雅黑"/>
          <w:color w:val="333333"/>
          <w:shd w:val="clear" w:color="auto" w:fill="FFFFFF"/>
          <w:lang w:eastAsia="zh-CN"/>
        </w:rPr>
        <w:t>统战</w:t>
      </w:r>
      <w:r>
        <w:rPr>
          <w:rStyle w:val="6"/>
          <w:rFonts w:hint="eastAsia" w:ascii="微软雅黑" w:hAnsi="微软雅黑" w:eastAsia="微软雅黑" w:cs="微软雅黑"/>
          <w:color w:val="333333"/>
          <w:shd w:val="clear" w:color="auto" w:fill="FFFFFF"/>
        </w:rPr>
        <w:t>部</w:t>
      </w:r>
      <w:r>
        <w:rPr>
          <w:rStyle w:val="6"/>
          <w:rFonts w:hint="eastAsia" w:ascii="微软雅黑" w:hAnsi="微软雅黑" w:eastAsia="微软雅黑" w:cs="微软雅黑"/>
          <w:color w:val="333333"/>
          <w:shd w:val="clear" w:color="auto" w:fill="FFFFFF"/>
          <w:lang w:eastAsia="zh-CN"/>
        </w:rPr>
        <w:t>20</w:t>
      </w:r>
      <w:r>
        <w:rPr>
          <w:rStyle w:val="6"/>
          <w:rFonts w:hint="eastAsia" w:ascii="微软雅黑" w:hAnsi="微软雅黑" w:eastAsia="微软雅黑" w:cs="微软雅黑"/>
          <w:color w:val="333333"/>
          <w:shd w:val="clear" w:color="auto" w:fill="FFFFFF"/>
          <w:lang w:val="en-US" w:eastAsia="zh-CN"/>
        </w:rPr>
        <w:t>21</w:t>
      </w:r>
      <w:r>
        <w:rPr>
          <w:rStyle w:val="6"/>
          <w:rFonts w:hint="eastAsia" w:ascii="微软雅黑" w:hAnsi="微软雅黑" w:eastAsia="微软雅黑" w:cs="微软雅黑"/>
          <w:color w:val="333333"/>
          <w:shd w:val="clear" w:color="auto" w:fill="FFFFFF"/>
          <w:lang w:eastAsia="zh-CN"/>
        </w:rPr>
        <w:t>年度</w:t>
      </w:r>
      <w:r>
        <w:rPr>
          <w:rStyle w:val="6"/>
          <w:rFonts w:hint="eastAsia" w:ascii="微软雅黑" w:hAnsi="微软雅黑" w:eastAsia="微软雅黑" w:cs="微软雅黑"/>
          <w:color w:val="333333"/>
          <w:shd w:val="clear" w:color="auto" w:fill="FFFFFF"/>
        </w:rPr>
        <w:t>决算公开</w:t>
      </w:r>
    </w:p>
    <w:p>
      <w:pPr>
        <w:pStyle w:val="3"/>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录</w:t>
      </w:r>
    </w:p>
    <w:p>
      <w:pPr>
        <w:pStyle w:val="3"/>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w:t>
      </w:r>
      <w:r>
        <w:rPr>
          <w:rFonts w:ascii="微软雅黑" w:hAnsi="微软雅黑" w:eastAsia="微软雅黑" w:cs="微软雅黑"/>
          <w:color w:val="333333"/>
          <w:shd w:val="clear" w:color="auto" w:fill="FFFFFF"/>
        </w:rPr>
        <w:t>:</w:t>
      </w:r>
      <w:r>
        <w:rPr>
          <w:rFonts w:hint="eastAsia" w:ascii="微软雅黑" w:hAnsi="微软雅黑" w:eastAsia="微软雅黑" w:cs="微软雅黑"/>
          <w:color w:val="333333"/>
          <w:shd w:val="clear" w:color="auto" w:fill="FFFFFF"/>
        </w:rPr>
        <w:t>部门基本情况</w:t>
      </w:r>
    </w:p>
    <w:p>
      <w:pPr>
        <w:pStyle w:val="3"/>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pPr>
        <w:pStyle w:val="3"/>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pPr>
        <w:pStyle w:val="3"/>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部门</w:t>
      </w:r>
      <w:r>
        <w:rPr>
          <w:rFonts w:hint="eastAsia" w:ascii="微软雅黑" w:hAnsi="微软雅黑" w:eastAsia="微软雅黑" w:cs="微软雅黑"/>
          <w:color w:val="333333"/>
          <w:shd w:val="clear" w:color="auto" w:fill="FFFFFF"/>
          <w:lang w:val="en-US" w:eastAsia="zh-CN"/>
        </w:rPr>
        <w:t>2021</w:t>
      </w:r>
      <w:r>
        <w:rPr>
          <w:rFonts w:hint="eastAsia" w:ascii="微软雅黑" w:hAnsi="微软雅黑" w:eastAsia="微软雅黑" w:cs="微软雅黑"/>
          <w:color w:val="333333"/>
          <w:shd w:val="clear" w:color="auto" w:fill="FFFFFF"/>
          <w:lang w:eastAsia="zh-CN"/>
        </w:rPr>
        <w:t>年度</w:t>
      </w:r>
      <w:r>
        <w:rPr>
          <w:rFonts w:hint="eastAsia" w:ascii="微软雅黑" w:hAnsi="微软雅黑" w:eastAsia="微软雅黑" w:cs="微软雅黑"/>
          <w:color w:val="333333"/>
          <w:shd w:val="clear" w:color="auto" w:fill="FFFFFF"/>
        </w:rPr>
        <w:t>部门决算表</w:t>
      </w:r>
    </w:p>
    <w:p>
      <w:pPr>
        <w:pStyle w:val="3"/>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p>
    <w:p>
      <w:pPr>
        <w:pStyle w:val="3"/>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p>
    <w:p>
      <w:pPr>
        <w:pStyle w:val="3"/>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p>
    <w:p>
      <w:pPr>
        <w:pStyle w:val="3"/>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p>
    <w:p>
      <w:pPr>
        <w:pStyle w:val="3"/>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p>
    <w:p>
      <w:pPr>
        <w:pStyle w:val="3"/>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p>
    <w:p>
      <w:pPr>
        <w:pStyle w:val="3"/>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七、一般公共预算财政拨款“三公”经费支出决算表（表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default"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pPr>
        <w:pStyle w:val="3"/>
        <w:widowControl/>
        <w:spacing w:before="76" w:beforeAutospacing="0" w:after="76" w:afterAutospacing="0" w:line="450" w:lineRule="atLeast"/>
        <w:ind w:firstLine="420"/>
        <w:rPr>
          <w:rFonts w:hint="default"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九、国有资本经营预算财政拨款支出决算表（表9）</w:t>
      </w:r>
    </w:p>
    <w:p>
      <w:pPr>
        <w:pStyle w:val="3"/>
        <w:widowControl/>
        <w:spacing w:before="76" w:beforeAutospacing="0" w:after="76" w:afterAutospacing="0" w:line="450" w:lineRule="atLeast"/>
        <w:ind w:firstLine="480" w:firstLineChars="200"/>
        <w:rPr>
          <w:color w:val="333333"/>
        </w:rPr>
      </w:pPr>
      <w:r>
        <w:rPr>
          <w:rFonts w:hint="eastAsia" w:ascii="微软雅黑" w:hAnsi="微软雅黑" w:eastAsia="微软雅黑" w:cs="微软雅黑"/>
          <w:color w:val="333333"/>
          <w:shd w:val="clear" w:color="auto" w:fill="FFFFFF"/>
        </w:rPr>
        <w:t>第三部分：部门</w:t>
      </w:r>
      <w:r>
        <w:rPr>
          <w:rFonts w:hint="eastAsia" w:ascii="微软雅黑" w:hAnsi="微软雅黑" w:eastAsia="微软雅黑" w:cs="微软雅黑"/>
          <w:color w:val="333333"/>
          <w:shd w:val="clear" w:color="auto" w:fill="FFFFFF"/>
          <w:lang w:val="en-US" w:eastAsia="zh-CN"/>
        </w:rPr>
        <w:t>2021</w:t>
      </w:r>
      <w:r>
        <w:rPr>
          <w:rFonts w:hint="eastAsia" w:ascii="微软雅黑" w:hAnsi="微软雅黑" w:eastAsia="微软雅黑" w:cs="微软雅黑"/>
          <w:color w:val="333333"/>
          <w:shd w:val="clear" w:color="auto" w:fill="FFFFFF"/>
          <w:lang w:eastAsia="zh-CN"/>
        </w:rPr>
        <w:t>年度</w:t>
      </w:r>
      <w:r>
        <w:rPr>
          <w:rFonts w:hint="eastAsia" w:ascii="微软雅黑" w:hAnsi="微软雅黑" w:eastAsia="微软雅黑" w:cs="微软雅黑"/>
          <w:color w:val="333333"/>
          <w:shd w:val="clear" w:color="auto" w:fill="FFFFFF"/>
        </w:rPr>
        <w:t>部门决算情况说明</w:t>
      </w:r>
    </w:p>
    <w:p>
      <w:pPr>
        <w:pStyle w:val="3"/>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pPr>
        <w:pStyle w:val="3"/>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pPr>
        <w:pStyle w:val="3"/>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pPr>
        <w:pStyle w:val="3"/>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pPr>
        <w:pStyle w:val="3"/>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pPr>
        <w:pStyle w:val="3"/>
        <w:widowControl/>
        <w:spacing w:before="76" w:beforeAutospacing="0" w:after="76" w:afterAutospacing="0" w:line="450" w:lineRule="atLeast"/>
        <w:ind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七、决算收支增减变化情况</w:t>
      </w:r>
    </w:p>
    <w:p>
      <w:pPr>
        <w:pStyle w:val="3"/>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第四部分：名词解释</w:t>
      </w:r>
      <w:r>
        <w:rPr>
          <w:rFonts w:ascii="微软雅黑" w:hAnsi="微软雅黑" w:eastAsia="微软雅黑" w:cs="微软雅黑"/>
          <w:color w:val="333333"/>
          <w:shd w:val="clear" w:color="auto" w:fill="FFFFFF"/>
        </w:rPr>
        <w:t> </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6"/>
          <w:rFonts w:hint="eastAsia" w:ascii="微软雅黑" w:hAnsi="微软雅黑" w:eastAsia="微软雅黑" w:cs="微软雅黑"/>
          <w:i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6"/>
          <w:rFonts w:hint="eastAsia" w:ascii="微软雅黑" w:hAnsi="微软雅黑" w:eastAsia="微软雅黑" w:cs="微软雅黑"/>
          <w:i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6"/>
          <w:rFonts w:hint="default" w:ascii="微软雅黑" w:hAnsi="微软雅黑" w:eastAsia="微软雅黑" w:cs="微软雅黑"/>
          <w:b/>
          <w:bCs w:val="0"/>
          <w:i w:val="0"/>
          <w:caps w:val="0"/>
          <w:color w:val="333333"/>
          <w:spacing w:val="0"/>
          <w:sz w:val="24"/>
          <w:szCs w:val="24"/>
          <w:shd w:val="clear" w:fill="FFFFFF"/>
          <w:lang w:val="en-US" w:eastAsia="zh-CN"/>
        </w:rPr>
      </w:pPr>
      <w:r>
        <w:rPr>
          <w:rStyle w:val="6"/>
          <w:rFonts w:hint="eastAsia" w:ascii="微软雅黑" w:hAnsi="微软雅黑" w:eastAsia="微软雅黑" w:cs="微软雅黑"/>
          <w:b/>
          <w:bCs w:val="0"/>
          <w:i w:val="0"/>
          <w:caps w:val="0"/>
          <w:color w:val="333333"/>
          <w:spacing w:val="0"/>
          <w:sz w:val="24"/>
          <w:szCs w:val="24"/>
          <w:shd w:val="clear" w:fill="FFFFFF"/>
          <w:lang w:val="en-US" w:eastAsia="zh-CN"/>
        </w:rPr>
        <w:t>2021年度部门决算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bCs w:val="0"/>
          <w:i w:val="0"/>
          <w:caps w:val="0"/>
          <w:color w:val="333333"/>
          <w:spacing w:val="0"/>
          <w:sz w:val="24"/>
          <w:szCs w:val="24"/>
          <w:shd w:val="clear" w:fill="FFFFFF"/>
        </w:rPr>
      </w:pPr>
      <w:r>
        <w:rPr>
          <w:rFonts w:hint="eastAsia" w:ascii="微软雅黑" w:hAnsi="微软雅黑" w:eastAsia="微软雅黑" w:cs="微软雅黑"/>
          <w:b/>
          <w:bCs w:val="0"/>
          <w:i w:val="0"/>
          <w:caps w:val="0"/>
          <w:color w:val="333333"/>
          <w:spacing w:val="0"/>
          <w:sz w:val="24"/>
          <w:szCs w:val="24"/>
          <w:shd w:val="clear" w:fill="FFFFFF"/>
          <w:lang w:eastAsia="zh-CN"/>
        </w:rPr>
        <w:t>第一部分</w:t>
      </w:r>
      <w:r>
        <w:rPr>
          <w:rFonts w:hint="eastAsia" w:ascii="微软雅黑" w:hAnsi="微软雅黑" w:eastAsia="微软雅黑" w:cs="微软雅黑"/>
          <w:b/>
          <w:bCs w:val="0"/>
          <w:i w:val="0"/>
          <w:caps w:val="0"/>
          <w:color w:val="333333"/>
          <w:spacing w:val="0"/>
          <w:sz w:val="24"/>
          <w:szCs w:val="24"/>
          <w:shd w:val="clear" w:fill="FFFFFF"/>
          <w:lang w:val="en-US" w:eastAsia="zh-CN"/>
        </w:rPr>
        <w:t xml:space="preserve"> </w:t>
      </w:r>
      <w:r>
        <w:rPr>
          <w:rFonts w:hint="eastAsia" w:ascii="微软雅黑" w:hAnsi="微软雅黑" w:eastAsia="微软雅黑" w:cs="微软雅黑"/>
          <w:b/>
          <w:bCs w:val="0"/>
          <w:i w:val="0"/>
          <w:caps w:val="0"/>
          <w:color w:val="333333"/>
          <w:spacing w:val="0"/>
          <w:sz w:val="24"/>
          <w:szCs w:val="24"/>
          <w:shd w:val="clear" w:fill="FFFFFF"/>
        </w:rPr>
        <w:t>部门概况</w:t>
      </w:r>
    </w:p>
    <w:p>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黄石港区委统战部成立于1984年5月，现为正科级机构，负责管理七个党派工作、工商联工作、党外知识分子工作、</w:t>
      </w:r>
      <w:r>
        <w:rPr>
          <w:rFonts w:hint="eastAsia" w:ascii="宋体" w:hAnsi="宋体" w:eastAsia="宋体" w:cs="宋体"/>
          <w:color w:val="auto"/>
          <w:sz w:val="28"/>
          <w:szCs w:val="28"/>
          <w:lang w:eastAsia="zh-CN"/>
        </w:rPr>
        <w:t>新的社会阶层工作、</w:t>
      </w:r>
      <w:r>
        <w:rPr>
          <w:rFonts w:hint="eastAsia" w:ascii="宋体" w:hAnsi="宋体" w:eastAsia="宋体" w:cs="宋体"/>
          <w:color w:val="auto"/>
          <w:sz w:val="28"/>
          <w:szCs w:val="28"/>
        </w:rPr>
        <w:t>民族宗教工作、台办工作、侨联工作等。</w:t>
      </w:r>
    </w:p>
    <w:p>
      <w:pPr>
        <w:numPr>
          <w:ilvl w:val="0"/>
          <w:numId w:val="0"/>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主要职能。</w:t>
      </w:r>
    </w:p>
    <w:p>
      <w:pPr>
        <w:spacing w:line="540" w:lineRule="exact"/>
        <w:ind w:firstLine="627" w:firstLineChars="224"/>
        <w:rPr>
          <w:rFonts w:hint="eastAsia" w:ascii="宋体" w:hAnsi="宋体" w:eastAsia="宋体" w:cs="宋体"/>
          <w:sz w:val="28"/>
          <w:szCs w:val="28"/>
        </w:rPr>
      </w:pPr>
      <w:r>
        <w:rPr>
          <w:rFonts w:hint="eastAsia" w:ascii="宋体" w:hAnsi="宋体" w:eastAsia="宋体" w:cs="宋体"/>
          <w:color w:val="auto"/>
          <w:sz w:val="28"/>
          <w:szCs w:val="28"/>
        </w:rPr>
        <w:t>（一）贯彻落实党对统一战线工</w:t>
      </w:r>
      <w:r>
        <w:rPr>
          <w:rFonts w:hint="eastAsia" w:ascii="宋体" w:hAnsi="宋体" w:eastAsia="宋体" w:cs="宋体"/>
          <w:sz w:val="28"/>
          <w:szCs w:val="28"/>
        </w:rPr>
        <w:t>作的理论方针政策和决策部署，拟订统一战线工作政策和规划，向同级党委请示报告统一战线工作并提出意见建议。</w:t>
      </w:r>
    </w:p>
    <w:p>
      <w:pPr>
        <w:spacing w:line="540" w:lineRule="exact"/>
        <w:ind w:firstLine="627" w:firstLineChars="224"/>
        <w:rPr>
          <w:rFonts w:hint="eastAsia" w:ascii="宋体" w:hAnsi="宋体" w:eastAsia="宋体" w:cs="宋体"/>
          <w:sz w:val="28"/>
          <w:szCs w:val="28"/>
        </w:rPr>
      </w:pPr>
      <w:r>
        <w:rPr>
          <w:rFonts w:hint="eastAsia" w:ascii="宋体" w:hAnsi="宋体" w:eastAsia="宋体" w:cs="宋体"/>
          <w:sz w:val="28"/>
          <w:szCs w:val="28"/>
        </w:rPr>
        <w:t>（二）统筹协调指导统一战线工作，组织协调开展日常监督检查。</w:t>
      </w:r>
    </w:p>
    <w:p>
      <w:pPr>
        <w:spacing w:line="540" w:lineRule="exact"/>
        <w:ind w:firstLine="627" w:firstLineChars="224"/>
        <w:rPr>
          <w:rFonts w:hint="eastAsia" w:ascii="宋体" w:hAnsi="宋体" w:eastAsia="宋体" w:cs="宋体"/>
          <w:sz w:val="28"/>
          <w:szCs w:val="28"/>
        </w:rPr>
      </w:pPr>
      <w:r>
        <w:rPr>
          <w:rFonts w:hint="eastAsia" w:ascii="宋体" w:hAnsi="宋体" w:eastAsia="宋体" w:cs="宋体"/>
          <w:sz w:val="28"/>
          <w:szCs w:val="28"/>
        </w:rPr>
        <w:t>（三）负责发现、联系和培养党外代表人士，在同级党委领导下做好党外代表人士的政治安排，协同有关部门做好安排党外代表人士担任政府和审判机关、检察机关等领导职务的工作。</w:t>
      </w:r>
    </w:p>
    <w:p>
      <w:pPr>
        <w:spacing w:line="540" w:lineRule="exact"/>
        <w:ind w:firstLine="627" w:firstLineChars="224"/>
        <w:rPr>
          <w:rFonts w:hint="eastAsia" w:ascii="宋体" w:hAnsi="宋体" w:eastAsia="宋体" w:cs="宋体"/>
          <w:sz w:val="28"/>
          <w:szCs w:val="28"/>
        </w:rPr>
      </w:pPr>
      <w:r>
        <w:rPr>
          <w:rFonts w:hint="eastAsia" w:ascii="宋体" w:hAnsi="宋体" w:eastAsia="宋体" w:cs="宋体"/>
          <w:sz w:val="28"/>
          <w:szCs w:val="28"/>
        </w:rPr>
        <w:t>（四）联系民主党派，牵头协调无党派人士工作，支持民主党派和无党派人士履行职责、发挥作用，支持、帮助民主党派和无党派人士加强自身建设。</w:t>
      </w:r>
    </w:p>
    <w:p>
      <w:pPr>
        <w:spacing w:line="540" w:lineRule="exact"/>
        <w:ind w:firstLine="627" w:firstLineChars="224"/>
        <w:rPr>
          <w:rFonts w:hint="eastAsia" w:ascii="宋体" w:hAnsi="宋体" w:eastAsia="宋体" w:cs="宋体"/>
          <w:sz w:val="28"/>
          <w:szCs w:val="28"/>
        </w:rPr>
      </w:pPr>
      <w:r>
        <w:rPr>
          <w:rFonts w:hint="eastAsia" w:ascii="宋体" w:hAnsi="宋体" w:eastAsia="宋体" w:cs="宋体"/>
          <w:sz w:val="28"/>
          <w:szCs w:val="28"/>
        </w:rPr>
        <w:t>（五）开展党外知识分子统一战线工作。</w:t>
      </w:r>
    </w:p>
    <w:p>
      <w:pPr>
        <w:spacing w:line="540" w:lineRule="exact"/>
        <w:ind w:firstLine="627" w:firstLineChars="224"/>
        <w:rPr>
          <w:rFonts w:hint="eastAsia" w:ascii="宋体" w:hAnsi="宋体" w:eastAsia="宋体" w:cs="宋体"/>
          <w:sz w:val="28"/>
          <w:szCs w:val="28"/>
        </w:rPr>
      </w:pPr>
      <w:r>
        <w:rPr>
          <w:rFonts w:hint="eastAsia" w:ascii="宋体" w:hAnsi="宋体" w:eastAsia="宋体" w:cs="宋体"/>
          <w:sz w:val="28"/>
          <w:szCs w:val="28"/>
        </w:rPr>
        <w:t>（六）统筹协调民族工作，领导民族工作部门依法管理民族事务。</w:t>
      </w:r>
    </w:p>
    <w:p>
      <w:pPr>
        <w:spacing w:line="540" w:lineRule="exact"/>
        <w:ind w:firstLine="627" w:firstLineChars="224"/>
        <w:rPr>
          <w:rFonts w:hint="eastAsia" w:ascii="宋体" w:hAnsi="宋体" w:eastAsia="宋体" w:cs="宋体"/>
          <w:sz w:val="28"/>
          <w:szCs w:val="28"/>
        </w:rPr>
      </w:pPr>
      <w:r>
        <w:rPr>
          <w:rFonts w:hint="eastAsia" w:ascii="宋体" w:hAnsi="宋体" w:eastAsia="宋体" w:cs="宋体"/>
          <w:sz w:val="28"/>
          <w:szCs w:val="28"/>
        </w:rPr>
        <w:t>（七）统一管理宗教工作，领导宗教工作部门依法管理宗教事务。</w:t>
      </w:r>
    </w:p>
    <w:p>
      <w:pPr>
        <w:spacing w:line="540" w:lineRule="exact"/>
        <w:ind w:firstLine="627" w:firstLineChars="224"/>
        <w:rPr>
          <w:rFonts w:hint="eastAsia" w:ascii="宋体" w:hAnsi="宋体" w:eastAsia="宋体" w:cs="宋体"/>
          <w:sz w:val="28"/>
          <w:szCs w:val="28"/>
        </w:rPr>
      </w:pPr>
      <w:r>
        <w:rPr>
          <w:rFonts w:hint="eastAsia" w:ascii="宋体" w:hAnsi="宋体" w:eastAsia="宋体" w:cs="宋体"/>
          <w:sz w:val="28"/>
          <w:szCs w:val="28"/>
        </w:rPr>
        <w:t>（八）参与制定、推动落实鼓励支持引导非公有制经济发展的方针政策，统筹开展非公有制经济人士统一战线工作。</w:t>
      </w:r>
    </w:p>
    <w:p>
      <w:pPr>
        <w:spacing w:line="540" w:lineRule="exact"/>
        <w:ind w:firstLine="627" w:firstLineChars="224"/>
        <w:rPr>
          <w:rFonts w:hint="eastAsia" w:ascii="宋体" w:hAnsi="宋体" w:eastAsia="宋体" w:cs="宋体"/>
          <w:sz w:val="28"/>
          <w:szCs w:val="28"/>
        </w:rPr>
      </w:pPr>
      <w:r>
        <w:rPr>
          <w:rFonts w:hint="eastAsia" w:ascii="宋体" w:hAnsi="宋体" w:eastAsia="宋体" w:cs="宋体"/>
          <w:sz w:val="28"/>
          <w:szCs w:val="28"/>
        </w:rPr>
        <w:t>（九）统筹开展新的社会阶层人士统一战线工作。</w:t>
      </w:r>
    </w:p>
    <w:p>
      <w:pPr>
        <w:spacing w:line="540" w:lineRule="exact"/>
        <w:ind w:firstLine="627" w:firstLineChars="224"/>
        <w:rPr>
          <w:rFonts w:hint="eastAsia" w:ascii="宋体" w:hAnsi="宋体" w:eastAsia="宋体" w:cs="宋体"/>
          <w:sz w:val="28"/>
          <w:szCs w:val="28"/>
        </w:rPr>
      </w:pPr>
      <w:r>
        <w:rPr>
          <w:rFonts w:hint="eastAsia" w:ascii="宋体" w:hAnsi="宋体" w:eastAsia="宋体" w:cs="宋体"/>
          <w:sz w:val="28"/>
          <w:szCs w:val="28"/>
        </w:rPr>
        <w:t>（十）会同有关部门开展港澳统一战线工作，开展对台统一战线工作。</w:t>
      </w:r>
    </w:p>
    <w:p>
      <w:pPr>
        <w:spacing w:line="540" w:lineRule="exact"/>
        <w:ind w:firstLine="627" w:firstLineChars="224"/>
        <w:rPr>
          <w:rFonts w:hint="eastAsia" w:ascii="宋体" w:hAnsi="宋体" w:eastAsia="宋体" w:cs="宋体"/>
          <w:sz w:val="28"/>
          <w:szCs w:val="28"/>
        </w:rPr>
      </w:pPr>
      <w:r>
        <w:rPr>
          <w:rFonts w:hint="eastAsia" w:ascii="宋体" w:hAnsi="宋体" w:eastAsia="宋体" w:cs="宋体"/>
          <w:sz w:val="28"/>
          <w:szCs w:val="28"/>
        </w:rPr>
        <w:t>（十一）统一领导海外统一战线工作，统一管理侨务工作，统筹协调有关部门和社会团体涉侨工作。</w:t>
      </w:r>
    </w:p>
    <w:p>
      <w:pPr>
        <w:spacing w:line="540" w:lineRule="exact"/>
        <w:ind w:firstLine="627" w:firstLineChars="224"/>
        <w:rPr>
          <w:rFonts w:hint="eastAsia" w:ascii="宋体" w:hAnsi="宋体" w:eastAsia="宋体" w:cs="宋体"/>
          <w:sz w:val="28"/>
          <w:szCs w:val="28"/>
        </w:rPr>
      </w:pPr>
      <w:r>
        <w:rPr>
          <w:rFonts w:hint="eastAsia" w:ascii="宋体" w:hAnsi="宋体" w:eastAsia="宋体" w:cs="宋体"/>
          <w:sz w:val="28"/>
          <w:szCs w:val="28"/>
        </w:rPr>
        <w:t>（十二）协调推进统一战线领域法治建设。</w:t>
      </w:r>
    </w:p>
    <w:p>
      <w:pPr>
        <w:spacing w:line="540" w:lineRule="exact"/>
        <w:ind w:firstLine="627" w:firstLineChars="224"/>
        <w:rPr>
          <w:rFonts w:hint="eastAsia" w:ascii="宋体" w:hAnsi="宋体" w:eastAsia="宋体" w:cs="宋体"/>
          <w:sz w:val="28"/>
          <w:szCs w:val="28"/>
        </w:rPr>
      </w:pPr>
      <w:r>
        <w:rPr>
          <w:rFonts w:hint="eastAsia" w:ascii="宋体" w:hAnsi="宋体" w:eastAsia="宋体" w:cs="宋体"/>
          <w:sz w:val="28"/>
          <w:szCs w:val="28"/>
        </w:rPr>
        <w:t>（十三）在统一战线工作中落实意识形态工作责任制，负责开展统一战线宣传工作。</w:t>
      </w:r>
    </w:p>
    <w:p>
      <w:pPr>
        <w:spacing w:line="540" w:lineRule="exact"/>
        <w:ind w:firstLine="627" w:firstLineChars="224"/>
        <w:rPr>
          <w:rFonts w:hint="eastAsia" w:ascii="宋体" w:hAnsi="宋体" w:eastAsia="宋体" w:cs="宋体"/>
          <w:sz w:val="28"/>
          <w:szCs w:val="28"/>
        </w:rPr>
      </w:pPr>
      <w:r>
        <w:rPr>
          <w:rFonts w:hint="eastAsia" w:ascii="宋体" w:hAnsi="宋体" w:eastAsia="宋体" w:cs="宋体"/>
          <w:sz w:val="28"/>
          <w:szCs w:val="28"/>
        </w:rPr>
        <w:t>（十四）指导下级党委统一战线工作，协助管理下一级党委统战部部长；协调政府有关部门统一战线工作，协助做好民族、宗教等工作部门领导班子成员推荐工作；加强同政协组织的沟通协调配合；加强对参事室、文史研究馆的工作指导；领导工商联党组，指导工商联工作；指导和管理社会主义学院；做好统一战线有关单位和团体管理工作。</w:t>
      </w:r>
    </w:p>
    <w:p>
      <w:pPr>
        <w:spacing w:line="540" w:lineRule="exact"/>
        <w:ind w:firstLine="627" w:firstLineChars="224"/>
        <w:rPr>
          <w:rFonts w:hint="eastAsia" w:ascii="宋体" w:hAnsi="宋体" w:eastAsia="宋体" w:cs="宋体"/>
          <w:sz w:val="28"/>
          <w:szCs w:val="28"/>
        </w:rPr>
      </w:pPr>
      <w:r>
        <w:rPr>
          <w:rFonts w:hint="eastAsia" w:ascii="宋体" w:hAnsi="宋体" w:eastAsia="宋体" w:cs="宋体"/>
          <w:sz w:val="28"/>
          <w:szCs w:val="28"/>
        </w:rPr>
        <w:t>（十五）完成同级党委和上级党委统战部交办的其他任务。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lang w:eastAsia="zh-CN"/>
        </w:rPr>
        <w:t>（二）</w:t>
      </w:r>
      <w:r>
        <w:rPr>
          <w:rFonts w:hint="eastAsia" w:ascii="宋体" w:hAnsi="宋体" w:eastAsia="宋体" w:cs="宋体"/>
          <w:b w:val="0"/>
          <w:i w:val="0"/>
          <w:caps w:val="0"/>
          <w:color w:val="333333"/>
          <w:spacing w:val="0"/>
          <w:sz w:val="28"/>
          <w:szCs w:val="28"/>
          <w:shd w:val="clear" w:fill="FFFFFF"/>
        </w:rPr>
        <w:t>机构情况</w:t>
      </w:r>
    </w:p>
    <w:p>
      <w:pPr>
        <w:ind w:firstLine="560" w:firstLineChars="200"/>
        <w:rPr>
          <w:rFonts w:hint="eastAsia" w:ascii="宋体" w:hAnsi="宋体" w:eastAsia="宋体" w:cs="宋体"/>
          <w:sz w:val="28"/>
          <w:szCs w:val="28"/>
        </w:rPr>
      </w:pPr>
      <w:r>
        <w:rPr>
          <w:rFonts w:hint="eastAsia" w:ascii="宋体" w:hAnsi="宋体" w:eastAsia="宋体" w:cs="宋体"/>
          <w:color w:val="auto"/>
          <w:sz w:val="28"/>
          <w:szCs w:val="28"/>
        </w:rPr>
        <w:t>中</w:t>
      </w:r>
      <w:r>
        <w:rPr>
          <w:rFonts w:hint="eastAsia" w:ascii="宋体" w:hAnsi="宋体" w:eastAsia="宋体" w:cs="宋体"/>
          <w:sz w:val="28"/>
          <w:szCs w:val="28"/>
        </w:rPr>
        <w:t>共黄石港区委统一战线工作部对外加挂区委台湾工作办公室是（区人民政府台湾事务办公室）、区人民政府侨务办公室、区工商业联合会牌子。</w:t>
      </w:r>
    </w:p>
    <w:p>
      <w:pPr>
        <w:ind w:firstLine="560" w:firstLineChars="200"/>
        <w:rPr>
          <w:rFonts w:hint="eastAsia" w:ascii="宋体" w:hAnsi="宋体" w:eastAsia="宋体" w:cs="宋体"/>
          <w:b w:val="0"/>
          <w:bCs/>
          <w:color w:val="0000FF"/>
          <w:sz w:val="28"/>
          <w:szCs w:val="28"/>
        </w:rPr>
      </w:pPr>
      <w:r>
        <w:rPr>
          <w:rFonts w:hint="eastAsia" w:ascii="宋体" w:hAnsi="宋体" w:eastAsia="宋体" w:cs="宋体"/>
          <w:sz w:val="28"/>
          <w:szCs w:val="28"/>
        </w:rPr>
        <w:t>中共黄石港区委统一战线工作部统一管理民族宗教工作，区民族宗教事务局与区委统一战线工作部合署办公，列入区政府工作部门序列。</w:t>
      </w:r>
    </w:p>
    <w:p>
      <w:pPr>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区委统战部包括民宗局、工商联、侨联、台办共有办公室5间，党派活动室（会议室）一处。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lang w:eastAsia="zh-CN"/>
        </w:rPr>
        <w:t>（三）</w:t>
      </w:r>
      <w:r>
        <w:rPr>
          <w:rFonts w:hint="eastAsia" w:ascii="宋体" w:hAnsi="宋体" w:eastAsia="宋体" w:cs="宋体"/>
          <w:b w:val="0"/>
          <w:i w:val="0"/>
          <w:caps w:val="0"/>
          <w:color w:val="333333"/>
          <w:spacing w:val="0"/>
          <w:sz w:val="28"/>
          <w:szCs w:val="28"/>
          <w:shd w:val="clear" w:fill="FFFFFF"/>
        </w:rPr>
        <w:t>人员情况</w:t>
      </w:r>
    </w:p>
    <w:p>
      <w:pPr>
        <w:ind w:firstLine="64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21</w:t>
      </w:r>
      <w:r>
        <w:rPr>
          <w:rFonts w:hint="eastAsia" w:ascii="宋体" w:hAnsi="宋体" w:eastAsia="宋体" w:cs="宋体"/>
          <w:color w:val="auto"/>
          <w:sz w:val="28"/>
          <w:szCs w:val="28"/>
        </w:rPr>
        <w:t>年区委统战部实有</w:t>
      </w:r>
      <w:r>
        <w:rPr>
          <w:rFonts w:hint="eastAsia" w:ascii="宋体" w:hAnsi="宋体" w:eastAsia="宋体" w:cs="宋体"/>
          <w:color w:val="auto"/>
          <w:sz w:val="28"/>
          <w:szCs w:val="28"/>
          <w:lang w:eastAsia="zh-CN"/>
        </w:rPr>
        <w:t>人数</w:t>
      </w:r>
      <w:r>
        <w:rPr>
          <w:rFonts w:hint="eastAsia" w:ascii="宋体" w:hAnsi="宋体" w:eastAsia="宋体" w:cs="宋体"/>
          <w:color w:val="auto"/>
          <w:sz w:val="28"/>
          <w:szCs w:val="28"/>
          <w:lang w:val="en-US" w:eastAsia="zh-CN"/>
        </w:rPr>
        <w:t>6人，其中</w:t>
      </w:r>
      <w:r>
        <w:rPr>
          <w:rFonts w:hint="eastAsia" w:ascii="宋体" w:hAnsi="宋体" w:eastAsia="宋体" w:cs="宋体"/>
          <w:color w:val="auto"/>
          <w:sz w:val="28"/>
          <w:szCs w:val="28"/>
        </w:rPr>
        <w:t>行政编制</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人，</w:t>
      </w:r>
      <w:r>
        <w:rPr>
          <w:rFonts w:hint="eastAsia" w:ascii="宋体" w:hAnsi="宋体" w:eastAsia="宋体" w:cs="宋体"/>
          <w:color w:val="auto"/>
          <w:sz w:val="28"/>
          <w:szCs w:val="28"/>
          <w:lang w:eastAsia="zh-CN"/>
        </w:rPr>
        <w:t>政府雇员</w:t>
      </w:r>
      <w:r>
        <w:rPr>
          <w:rFonts w:hint="eastAsia" w:ascii="宋体" w:hAnsi="宋体" w:eastAsia="宋体" w:cs="宋体"/>
          <w:color w:val="auto"/>
          <w:sz w:val="28"/>
          <w:szCs w:val="28"/>
          <w:lang w:val="en-US" w:eastAsia="zh-CN"/>
        </w:rPr>
        <w:t>3人。</w:t>
      </w:r>
      <w:r>
        <w:rPr>
          <w:rFonts w:hint="eastAsia" w:ascii="宋体" w:hAnsi="宋体" w:eastAsia="宋体" w:cs="宋体"/>
          <w:color w:val="auto"/>
          <w:sz w:val="28"/>
          <w:szCs w:val="28"/>
        </w:rPr>
        <w:t>全年机构、人员</w:t>
      </w:r>
      <w:r>
        <w:rPr>
          <w:rFonts w:hint="eastAsia" w:ascii="宋体" w:hAnsi="宋体" w:eastAsia="宋体" w:cs="宋体"/>
          <w:color w:val="auto"/>
          <w:sz w:val="28"/>
          <w:szCs w:val="28"/>
          <w:lang w:eastAsia="zh-CN"/>
        </w:rPr>
        <w:t>较上年增加</w:t>
      </w:r>
      <w:r>
        <w:rPr>
          <w:rFonts w:hint="eastAsia" w:ascii="宋体" w:hAnsi="宋体" w:eastAsia="宋体" w:cs="宋体"/>
          <w:color w:val="auto"/>
          <w:sz w:val="28"/>
          <w:szCs w:val="28"/>
          <w:lang w:val="en-US" w:eastAsia="zh-CN"/>
        </w:rPr>
        <w:t>2人。</w:t>
      </w:r>
    </w:p>
    <w:p>
      <w:pPr>
        <w:rPr>
          <w:rFonts w:hint="eastAsia" w:ascii="宋体" w:hAnsi="宋体" w:eastAsia="宋体" w:cs="宋体"/>
          <w:color w:val="auto"/>
          <w:sz w:val="24"/>
          <w:szCs w:val="24"/>
          <w:lang w:eastAsia="zh-CN"/>
        </w:rPr>
      </w:pPr>
    </w:p>
    <w:p>
      <w:pPr>
        <w:numPr>
          <w:ilvl w:val="0"/>
          <w:numId w:val="1"/>
        </w:numPr>
        <w:rPr>
          <w:rStyle w:val="6"/>
          <w:rFonts w:hint="eastAsia" w:ascii="宋体" w:hAnsi="宋体" w:eastAsia="宋体" w:cs="宋体"/>
          <w:i w:val="0"/>
          <w:caps w:val="0"/>
          <w:color w:val="333333"/>
          <w:spacing w:val="0"/>
          <w:sz w:val="24"/>
          <w:szCs w:val="24"/>
          <w:shd w:val="clear" w:fill="FFFFFF"/>
        </w:rPr>
      </w:pPr>
      <w:r>
        <w:rPr>
          <w:rStyle w:val="6"/>
          <w:rFonts w:hint="eastAsia" w:ascii="宋体" w:hAnsi="宋体" w:eastAsia="宋体" w:cs="宋体"/>
          <w:i w:val="0"/>
          <w:caps w:val="0"/>
          <w:color w:val="333333"/>
          <w:spacing w:val="0"/>
          <w:sz w:val="24"/>
          <w:szCs w:val="24"/>
          <w:shd w:val="clear" w:fill="FFFFFF"/>
          <w:lang w:val="en-US" w:eastAsia="zh-CN"/>
        </w:rPr>
        <w:t>部门</w:t>
      </w:r>
      <w:r>
        <w:rPr>
          <w:rStyle w:val="6"/>
          <w:rFonts w:hint="eastAsia" w:ascii="宋体" w:hAnsi="宋体" w:eastAsia="宋体" w:cs="宋体"/>
          <w:i w:val="0"/>
          <w:caps w:val="0"/>
          <w:color w:val="333333"/>
          <w:spacing w:val="0"/>
          <w:sz w:val="24"/>
          <w:szCs w:val="24"/>
          <w:shd w:val="clear" w:fill="FFFFFF"/>
          <w:lang w:eastAsia="zh-CN"/>
        </w:rPr>
        <w:t>20</w:t>
      </w:r>
      <w:r>
        <w:rPr>
          <w:rStyle w:val="6"/>
          <w:rFonts w:hint="eastAsia" w:ascii="宋体" w:hAnsi="宋体" w:eastAsia="宋体" w:cs="宋体"/>
          <w:i w:val="0"/>
          <w:caps w:val="0"/>
          <w:color w:val="333333"/>
          <w:spacing w:val="0"/>
          <w:sz w:val="24"/>
          <w:szCs w:val="24"/>
          <w:shd w:val="clear" w:fill="FFFFFF"/>
          <w:lang w:val="en-US" w:eastAsia="zh-CN"/>
        </w:rPr>
        <w:t>21</w:t>
      </w:r>
      <w:r>
        <w:rPr>
          <w:rStyle w:val="6"/>
          <w:rFonts w:hint="eastAsia" w:ascii="宋体" w:hAnsi="宋体" w:eastAsia="宋体" w:cs="宋体"/>
          <w:i w:val="0"/>
          <w:caps w:val="0"/>
          <w:color w:val="333333"/>
          <w:spacing w:val="0"/>
          <w:sz w:val="24"/>
          <w:szCs w:val="24"/>
          <w:shd w:val="clear" w:fill="FFFFFF"/>
          <w:lang w:eastAsia="zh-CN"/>
        </w:rPr>
        <w:t>年度</w:t>
      </w:r>
      <w:r>
        <w:rPr>
          <w:rStyle w:val="6"/>
          <w:rFonts w:hint="eastAsia" w:ascii="宋体" w:hAnsi="宋体" w:eastAsia="宋体" w:cs="宋体"/>
          <w:i w:val="0"/>
          <w:caps w:val="0"/>
          <w:color w:val="333333"/>
          <w:spacing w:val="0"/>
          <w:sz w:val="24"/>
          <w:szCs w:val="24"/>
          <w:shd w:val="clear" w:fill="FFFFFF"/>
        </w:rPr>
        <w:t>部门决算表</w:t>
      </w:r>
    </w:p>
    <w:p>
      <w:pPr>
        <w:widowControl w:val="0"/>
        <w:numPr>
          <w:ilvl w:val="0"/>
          <w:numId w:val="0"/>
        </w:numPr>
        <w:jc w:val="both"/>
        <w:rPr>
          <w:rStyle w:val="6"/>
          <w:rFonts w:hint="eastAsia" w:ascii="宋体" w:hAnsi="宋体" w:eastAsia="宋体" w:cs="宋体"/>
          <w:i w:val="0"/>
          <w:caps w:val="0"/>
          <w:color w:val="333333"/>
          <w:spacing w:val="0"/>
          <w:sz w:val="24"/>
          <w:szCs w:val="24"/>
          <w:shd w:val="clear" w:fill="FFFFFF"/>
        </w:rPr>
      </w:pPr>
    </w:p>
    <w:p>
      <w:pPr>
        <w:widowControl w:val="0"/>
        <w:numPr>
          <w:ilvl w:val="0"/>
          <w:numId w:val="0"/>
        </w:numPr>
        <w:jc w:val="both"/>
        <w:rPr>
          <w:rStyle w:val="6"/>
          <w:rFonts w:hint="eastAsia" w:ascii="宋体" w:hAnsi="宋体" w:eastAsia="宋体" w:cs="宋体"/>
          <w:i w:val="0"/>
          <w:caps w:val="0"/>
          <w:color w:val="333333"/>
          <w:spacing w:val="0"/>
          <w:sz w:val="24"/>
          <w:szCs w:val="24"/>
          <w:shd w:val="clear" w:fill="FFFFFF"/>
        </w:rPr>
      </w:pPr>
      <w:r>
        <w:drawing>
          <wp:inline distT="0" distB="0" distL="114300" distR="114300">
            <wp:extent cx="8829675" cy="58769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8829675" cy="5876925"/>
                    </a:xfrm>
                    <a:prstGeom prst="rect">
                      <a:avLst/>
                    </a:prstGeom>
                    <a:noFill/>
                    <a:ln>
                      <a:noFill/>
                    </a:ln>
                  </pic:spPr>
                </pic:pic>
              </a:graphicData>
            </a:graphic>
          </wp:inline>
        </w:drawing>
      </w:r>
    </w:p>
    <w:p>
      <w:pPr>
        <w:widowControl w:val="0"/>
        <w:numPr>
          <w:ilvl w:val="0"/>
          <w:numId w:val="0"/>
        </w:numPr>
        <w:jc w:val="both"/>
        <w:rPr>
          <w:rStyle w:val="6"/>
          <w:rFonts w:hint="eastAsia" w:ascii="宋体" w:hAnsi="宋体" w:eastAsia="宋体" w:cs="宋体"/>
          <w:i w:val="0"/>
          <w:caps w:val="0"/>
          <w:color w:val="333333"/>
          <w:spacing w:val="0"/>
          <w:sz w:val="24"/>
          <w:szCs w:val="24"/>
          <w:shd w:val="clear" w:fill="FFFFFF"/>
        </w:rPr>
      </w:pPr>
      <w:r>
        <w:drawing>
          <wp:inline distT="0" distB="0" distL="114300" distR="114300">
            <wp:extent cx="8924925" cy="27241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8924925" cy="2724150"/>
                    </a:xfrm>
                    <a:prstGeom prst="rect">
                      <a:avLst/>
                    </a:prstGeom>
                    <a:noFill/>
                    <a:ln>
                      <a:noFill/>
                    </a:ln>
                  </pic:spPr>
                </pic:pic>
              </a:graphicData>
            </a:graphic>
          </wp:inline>
        </w:drawing>
      </w:r>
    </w:p>
    <w:p>
      <w:pPr>
        <w:widowControl w:val="0"/>
        <w:numPr>
          <w:ilvl w:val="0"/>
          <w:numId w:val="0"/>
        </w:numPr>
        <w:jc w:val="both"/>
        <w:rPr>
          <w:rStyle w:val="6"/>
          <w:rFonts w:hint="eastAsia" w:ascii="宋体" w:hAnsi="宋体" w:eastAsia="宋体" w:cs="宋体"/>
          <w:i w:val="0"/>
          <w:caps w:val="0"/>
          <w:color w:val="333333"/>
          <w:spacing w:val="0"/>
          <w:sz w:val="24"/>
          <w:szCs w:val="24"/>
          <w:shd w:val="clear" w:fill="FFFFFF"/>
        </w:rPr>
      </w:pPr>
    </w:p>
    <w:p>
      <w:pPr>
        <w:widowControl w:val="0"/>
        <w:numPr>
          <w:ilvl w:val="0"/>
          <w:numId w:val="0"/>
        </w:numPr>
        <w:jc w:val="both"/>
        <w:rPr>
          <w:rStyle w:val="6"/>
          <w:rFonts w:hint="eastAsia" w:ascii="宋体" w:hAnsi="宋体" w:eastAsia="宋体" w:cs="宋体"/>
          <w:i w:val="0"/>
          <w:caps w:val="0"/>
          <w:color w:val="333333"/>
          <w:spacing w:val="0"/>
          <w:sz w:val="24"/>
          <w:szCs w:val="24"/>
          <w:shd w:val="clear" w:fill="FFFFFF"/>
        </w:rPr>
      </w:pPr>
    </w:p>
    <w:p>
      <w:pPr>
        <w:widowControl w:val="0"/>
        <w:numPr>
          <w:ilvl w:val="0"/>
          <w:numId w:val="0"/>
        </w:numPr>
        <w:jc w:val="both"/>
        <w:rPr>
          <w:rStyle w:val="6"/>
          <w:rFonts w:hint="eastAsia" w:ascii="宋体" w:hAnsi="宋体" w:eastAsia="宋体" w:cs="宋体"/>
          <w:i w:val="0"/>
          <w:caps w:val="0"/>
          <w:color w:val="333333"/>
          <w:spacing w:val="0"/>
          <w:sz w:val="24"/>
          <w:szCs w:val="24"/>
          <w:shd w:val="clear" w:fill="FFFFFF"/>
        </w:rPr>
      </w:pPr>
      <w:r>
        <w:drawing>
          <wp:inline distT="0" distB="0" distL="114300" distR="114300">
            <wp:extent cx="8924925" cy="27146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924925" cy="2714625"/>
                    </a:xfrm>
                    <a:prstGeom prst="rect">
                      <a:avLst/>
                    </a:prstGeom>
                    <a:noFill/>
                    <a:ln>
                      <a:noFill/>
                    </a:ln>
                  </pic:spPr>
                </pic:pic>
              </a:graphicData>
            </a:graphic>
          </wp:inline>
        </w:drawing>
      </w:r>
    </w:p>
    <w:p>
      <w:pPr>
        <w:widowControl w:val="0"/>
        <w:numPr>
          <w:ilvl w:val="0"/>
          <w:numId w:val="0"/>
        </w:numPr>
        <w:jc w:val="both"/>
        <w:rPr>
          <w:rStyle w:val="6"/>
          <w:rFonts w:hint="eastAsia" w:ascii="宋体" w:hAnsi="宋体" w:eastAsia="宋体" w:cs="宋体"/>
          <w:i w:val="0"/>
          <w:caps w:val="0"/>
          <w:color w:val="333333"/>
          <w:spacing w:val="0"/>
          <w:sz w:val="24"/>
          <w:szCs w:val="24"/>
          <w:shd w:val="clear" w:fill="FFFFFF"/>
        </w:rPr>
      </w:pPr>
    </w:p>
    <w:p>
      <w:pPr>
        <w:widowControl w:val="0"/>
        <w:numPr>
          <w:ilvl w:val="0"/>
          <w:numId w:val="0"/>
        </w:numPr>
        <w:jc w:val="both"/>
        <w:rPr>
          <w:rStyle w:val="6"/>
          <w:rFonts w:hint="eastAsia" w:ascii="宋体" w:hAnsi="宋体" w:eastAsia="宋体" w:cs="宋体"/>
          <w:i w:val="0"/>
          <w:caps w:val="0"/>
          <w:color w:val="333333"/>
          <w:spacing w:val="0"/>
          <w:sz w:val="24"/>
          <w:szCs w:val="24"/>
          <w:shd w:val="clear" w:fill="FFFFFF"/>
        </w:rPr>
      </w:pPr>
    </w:p>
    <w:p>
      <w:pPr>
        <w:widowControl w:val="0"/>
        <w:numPr>
          <w:ilvl w:val="0"/>
          <w:numId w:val="0"/>
        </w:numPr>
        <w:jc w:val="both"/>
        <w:rPr>
          <w:rStyle w:val="6"/>
          <w:rFonts w:hint="eastAsia" w:ascii="宋体" w:hAnsi="宋体" w:eastAsia="宋体" w:cs="宋体"/>
          <w:i w:val="0"/>
          <w:caps w:val="0"/>
          <w:color w:val="333333"/>
          <w:spacing w:val="0"/>
          <w:sz w:val="24"/>
          <w:szCs w:val="24"/>
          <w:shd w:val="clear" w:fill="FFFFFF"/>
        </w:rPr>
      </w:pPr>
      <w:r>
        <w:drawing>
          <wp:inline distT="0" distB="0" distL="114300" distR="114300">
            <wp:extent cx="9054465" cy="6303645"/>
            <wp:effectExtent l="0" t="0" r="1333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9054465" cy="6303645"/>
                    </a:xfrm>
                    <a:prstGeom prst="rect">
                      <a:avLst/>
                    </a:prstGeom>
                    <a:noFill/>
                    <a:ln>
                      <a:noFill/>
                    </a:ln>
                  </pic:spPr>
                </pic:pic>
              </a:graphicData>
            </a:graphic>
          </wp:inline>
        </w:drawing>
      </w: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rPr>
          <w:rStyle w:val="6"/>
          <w:rFonts w:hint="eastAsia" w:ascii="宋体" w:hAnsi="宋体" w:eastAsia="宋体" w:cs="宋体"/>
          <w:i w:val="0"/>
          <w:caps w:val="0"/>
          <w:color w:val="333333"/>
          <w:spacing w:val="0"/>
          <w:sz w:val="24"/>
          <w:szCs w:val="24"/>
          <w:shd w:val="clear" w:fill="FFFFFF"/>
        </w:rPr>
      </w:pPr>
      <w:r>
        <w:drawing>
          <wp:inline distT="0" distB="0" distL="114300" distR="114300">
            <wp:extent cx="9124950" cy="27146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9124950" cy="2714625"/>
                    </a:xfrm>
                    <a:prstGeom prst="rect">
                      <a:avLst/>
                    </a:prstGeom>
                    <a:noFill/>
                    <a:ln>
                      <a:noFill/>
                    </a:ln>
                  </pic:spPr>
                </pic:pic>
              </a:graphicData>
            </a:graphic>
          </wp:inline>
        </w:drawing>
      </w:r>
    </w:p>
    <w:p>
      <w:pPr>
        <w:widowControl w:val="0"/>
        <w:numPr>
          <w:ilvl w:val="0"/>
          <w:numId w:val="0"/>
        </w:numPr>
        <w:jc w:val="both"/>
        <w:rPr>
          <w:rStyle w:val="6"/>
          <w:rFonts w:hint="eastAsia" w:ascii="宋体" w:hAnsi="宋体" w:eastAsia="宋体" w:cs="宋体"/>
          <w:i w:val="0"/>
          <w:caps w:val="0"/>
          <w:color w:val="333333"/>
          <w:spacing w:val="0"/>
          <w:sz w:val="24"/>
          <w:szCs w:val="24"/>
          <w:shd w:val="clear" w:fill="FFFFFF"/>
        </w:rPr>
      </w:pPr>
    </w:p>
    <w:p>
      <w:pPr>
        <w:widowControl w:val="0"/>
        <w:numPr>
          <w:ilvl w:val="0"/>
          <w:numId w:val="0"/>
        </w:numPr>
        <w:jc w:val="both"/>
        <w:rPr>
          <w:rStyle w:val="6"/>
          <w:rFonts w:hint="eastAsia" w:ascii="宋体" w:hAnsi="宋体" w:eastAsia="宋体" w:cs="宋体"/>
          <w:i w:val="0"/>
          <w:caps w:val="0"/>
          <w:color w:val="333333"/>
          <w:spacing w:val="0"/>
          <w:sz w:val="24"/>
          <w:szCs w:val="24"/>
          <w:shd w:val="clear" w:fill="FFFFFF"/>
        </w:rPr>
      </w:pPr>
    </w:p>
    <w:p>
      <w:pPr>
        <w:widowControl w:val="0"/>
        <w:numPr>
          <w:ilvl w:val="0"/>
          <w:numId w:val="0"/>
        </w:numPr>
        <w:jc w:val="both"/>
        <w:rPr>
          <w:rStyle w:val="6"/>
          <w:rFonts w:hint="eastAsia" w:ascii="宋体" w:hAnsi="宋体" w:eastAsia="宋体" w:cs="宋体"/>
          <w:i w:val="0"/>
          <w:caps w:val="0"/>
          <w:color w:val="333333"/>
          <w:spacing w:val="0"/>
          <w:sz w:val="24"/>
          <w:szCs w:val="24"/>
          <w:shd w:val="clear" w:fill="FFFFFF"/>
        </w:rPr>
      </w:pPr>
    </w:p>
    <w:p>
      <w:pPr>
        <w:widowControl w:val="0"/>
        <w:numPr>
          <w:ilvl w:val="0"/>
          <w:numId w:val="0"/>
        </w:numPr>
        <w:jc w:val="both"/>
        <w:rPr>
          <w:rStyle w:val="6"/>
          <w:rFonts w:hint="eastAsia" w:ascii="宋体" w:hAnsi="宋体" w:eastAsia="宋体" w:cs="宋体"/>
          <w:i w:val="0"/>
          <w:caps w:val="0"/>
          <w:color w:val="333333"/>
          <w:spacing w:val="0"/>
          <w:sz w:val="24"/>
          <w:szCs w:val="24"/>
          <w:shd w:val="clear" w:fill="FFFFFF"/>
        </w:rPr>
      </w:pPr>
    </w:p>
    <w:p>
      <w:pPr>
        <w:widowControl w:val="0"/>
        <w:numPr>
          <w:ilvl w:val="0"/>
          <w:numId w:val="0"/>
        </w:numPr>
        <w:jc w:val="both"/>
        <w:rPr>
          <w:rStyle w:val="6"/>
          <w:rFonts w:hint="eastAsia" w:ascii="宋体" w:hAnsi="宋体" w:eastAsia="宋体" w:cs="宋体"/>
          <w:i w:val="0"/>
          <w:caps w:val="0"/>
          <w:color w:val="333333"/>
          <w:spacing w:val="0"/>
          <w:sz w:val="24"/>
          <w:szCs w:val="24"/>
          <w:shd w:val="clear" w:fill="FFFFFF"/>
        </w:rPr>
      </w:pPr>
      <w:r>
        <w:drawing>
          <wp:inline distT="0" distB="0" distL="114300" distR="114300">
            <wp:extent cx="9048115" cy="5306060"/>
            <wp:effectExtent l="0" t="0" r="635"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9048115" cy="5306060"/>
                    </a:xfrm>
                    <a:prstGeom prst="rect">
                      <a:avLst/>
                    </a:prstGeom>
                    <a:noFill/>
                    <a:ln>
                      <a:noFill/>
                    </a:ln>
                  </pic:spPr>
                </pic:pic>
              </a:graphicData>
            </a:graphic>
          </wp:inline>
        </w:drawing>
      </w:r>
    </w:p>
    <w:p>
      <w:pPr>
        <w:widowControl w:val="0"/>
        <w:numPr>
          <w:ilvl w:val="0"/>
          <w:numId w:val="0"/>
        </w:numPr>
        <w:jc w:val="both"/>
        <w:rPr>
          <w:rStyle w:val="6"/>
          <w:rFonts w:hint="eastAsia" w:ascii="宋体" w:hAnsi="宋体" w:eastAsia="宋体" w:cs="宋体"/>
          <w:i w:val="0"/>
          <w:caps w:val="0"/>
          <w:color w:val="333333"/>
          <w:spacing w:val="0"/>
          <w:sz w:val="24"/>
          <w:szCs w:val="24"/>
          <w:shd w:val="clear" w:fill="FFFFFF"/>
        </w:rPr>
      </w:pPr>
    </w:p>
    <w:p>
      <w:pPr>
        <w:widowControl w:val="0"/>
        <w:numPr>
          <w:ilvl w:val="0"/>
          <w:numId w:val="0"/>
        </w:numPr>
        <w:jc w:val="both"/>
        <w:rPr>
          <w:rStyle w:val="6"/>
          <w:rFonts w:hint="eastAsia" w:ascii="微软雅黑" w:hAnsi="微软雅黑" w:eastAsia="微软雅黑" w:cs="微软雅黑"/>
          <w:i w:val="0"/>
          <w:caps w:val="0"/>
          <w:color w:val="333333"/>
          <w:spacing w:val="0"/>
          <w:sz w:val="24"/>
          <w:szCs w:val="24"/>
          <w:shd w:val="clear" w:fill="FFFFFF"/>
        </w:rPr>
      </w:pPr>
    </w:p>
    <w:p>
      <w:pPr>
        <w:widowControl w:val="0"/>
        <w:numPr>
          <w:ilvl w:val="0"/>
          <w:numId w:val="0"/>
        </w:numPr>
        <w:jc w:val="both"/>
        <w:rPr>
          <w:rStyle w:val="6"/>
          <w:rFonts w:hint="eastAsia" w:ascii="微软雅黑" w:hAnsi="微软雅黑" w:eastAsia="微软雅黑" w:cs="微软雅黑"/>
          <w:i w:val="0"/>
          <w:caps w:val="0"/>
          <w:color w:val="333333"/>
          <w:spacing w:val="0"/>
          <w:sz w:val="24"/>
          <w:szCs w:val="24"/>
          <w:shd w:val="clear" w:fill="FFFFFF"/>
        </w:rPr>
      </w:pPr>
    </w:p>
    <w:tbl>
      <w:tblPr>
        <w:tblStyle w:val="4"/>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07"/>
        <w:gridCol w:w="842"/>
        <w:gridCol w:w="978"/>
        <w:gridCol w:w="921"/>
        <w:gridCol w:w="910"/>
        <w:gridCol w:w="1784"/>
        <w:gridCol w:w="944"/>
        <w:gridCol w:w="1013"/>
        <w:gridCol w:w="967"/>
        <w:gridCol w:w="933"/>
        <w:gridCol w:w="933"/>
        <w:gridCol w:w="1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081" w:type="dxa"/>
            <w:gridSpan w:val="12"/>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07"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预算代码：{FMDM[YSDM]}</w:t>
            </w:r>
          </w:p>
        </w:tc>
        <w:tc>
          <w:tcPr>
            <w:tcW w:w="84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7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21"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1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8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4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1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6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3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3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49"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2307"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部门：中共黄石港区委统一战线工作部</w:t>
            </w:r>
          </w:p>
        </w:tc>
        <w:tc>
          <w:tcPr>
            <w:tcW w:w="842"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78"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21"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10"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784"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制表日期：2021年</w:t>
            </w:r>
          </w:p>
        </w:tc>
        <w:tc>
          <w:tcPr>
            <w:tcW w:w="944"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13"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67"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33"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33"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549"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742" w:type="dxa"/>
            <w:gridSpan w:val="6"/>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6339" w:type="dxa"/>
            <w:gridSpan w:val="6"/>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07"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4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809"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78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94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1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833"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549"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07"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4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78"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2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91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78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4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1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6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9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549"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07"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42"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8"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1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84"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44"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6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49"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07" w:type="dxa"/>
            <w:tcBorders>
              <w:top w:val="nil"/>
              <w:left w:val="single" w:color="000000" w:sz="4" w:space="0"/>
              <w:bottom w:val="single" w:color="000000" w:sz="4" w:space="0"/>
              <w:right w:val="single" w:color="000000"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0.4</w:t>
            </w:r>
          </w:p>
        </w:tc>
        <w:tc>
          <w:tcPr>
            <w:tcW w:w="842" w:type="dxa"/>
            <w:tcBorders>
              <w:top w:val="nil"/>
              <w:left w:val="nil"/>
              <w:bottom w:val="single" w:color="000000" w:sz="4" w:space="0"/>
              <w:right w:val="single" w:color="000000"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0.00</w:t>
            </w:r>
          </w:p>
        </w:tc>
        <w:tc>
          <w:tcPr>
            <w:tcW w:w="978" w:type="dxa"/>
            <w:tcBorders>
              <w:top w:val="nil"/>
              <w:left w:val="nil"/>
              <w:bottom w:val="single" w:color="000000" w:sz="4" w:space="0"/>
              <w:right w:val="single" w:color="000000"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0.00</w:t>
            </w:r>
          </w:p>
        </w:tc>
        <w:tc>
          <w:tcPr>
            <w:tcW w:w="921" w:type="dxa"/>
            <w:tcBorders>
              <w:top w:val="nil"/>
              <w:left w:val="nil"/>
              <w:bottom w:val="single" w:color="000000" w:sz="4" w:space="0"/>
              <w:right w:val="single" w:color="000000"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0.00</w:t>
            </w:r>
          </w:p>
        </w:tc>
        <w:tc>
          <w:tcPr>
            <w:tcW w:w="910" w:type="dxa"/>
            <w:tcBorders>
              <w:top w:val="nil"/>
              <w:left w:val="nil"/>
              <w:bottom w:val="single" w:color="000000" w:sz="4" w:space="0"/>
              <w:right w:val="single" w:color="000000"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0.00</w:t>
            </w:r>
          </w:p>
        </w:tc>
        <w:tc>
          <w:tcPr>
            <w:tcW w:w="1784" w:type="dxa"/>
            <w:tcBorders>
              <w:top w:val="nil"/>
              <w:left w:val="nil"/>
              <w:bottom w:val="single" w:color="000000" w:sz="4" w:space="0"/>
              <w:right w:val="single" w:color="000000"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0.4</w:t>
            </w:r>
          </w:p>
        </w:tc>
        <w:tc>
          <w:tcPr>
            <w:tcW w:w="94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0.12</w:t>
            </w:r>
          </w:p>
        </w:tc>
        <w:tc>
          <w:tcPr>
            <w:tcW w:w="10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0.00</w:t>
            </w:r>
          </w:p>
        </w:tc>
        <w:tc>
          <w:tcPr>
            <w:tcW w:w="96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0.00</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0.00</w:t>
            </w:r>
          </w:p>
        </w:tc>
        <w:tc>
          <w:tcPr>
            <w:tcW w:w="9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0.00</w:t>
            </w:r>
          </w:p>
        </w:tc>
        <w:tc>
          <w:tcPr>
            <w:tcW w:w="154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81" w:type="dxa"/>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bookmarkStart w:id="0" w:name="_GoBack"/>
            <w:bookmarkEnd w:id="0"/>
          </w:p>
        </w:tc>
      </w:tr>
    </w:tbl>
    <w:p/>
    <w:tbl>
      <w:tblPr>
        <w:tblStyle w:val="4"/>
        <w:tblW w:w="140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56"/>
        <w:gridCol w:w="222"/>
        <w:gridCol w:w="222"/>
        <w:gridCol w:w="1016"/>
        <w:gridCol w:w="1575"/>
        <w:gridCol w:w="1045"/>
        <w:gridCol w:w="1045"/>
        <w:gridCol w:w="1045"/>
        <w:gridCol w:w="1045"/>
        <w:gridCol w:w="2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036" w:type="dxa"/>
            <w:gridSpan w:val="10"/>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865"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部门：中共黄石港区委统一战线工作部</w:t>
            </w: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2865"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57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137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125"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286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80"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7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7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7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37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37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286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8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57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7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7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7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7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86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8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57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7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7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7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7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86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286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86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36" w:type="dxa"/>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z w:val="20"/>
                <w:szCs w:val="20"/>
              </w:rPr>
              <w:t>注：我部门（单位）无此项内容，本表无数据</w:t>
            </w:r>
          </w:p>
        </w:tc>
      </w:tr>
    </w:tbl>
    <w:p/>
    <w:p/>
    <w:tbl>
      <w:tblPr>
        <w:tblStyle w:val="4"/>
        <w:tblW w:w="139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56"/>
        <w:gridCol w:w="222"/>
        <w:gridCol w:w="222"/>
        <w:gridCol w:w="1151"/>
        <w:gridCol w:w="700"/>
        <w:gridCol w:w="586"/>
        <w:gridCol w:w="7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986" w:type="dxa"/>
            <w:gridSpan w:val="7"/>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149"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部门：中共黄石港区委统一战线工作部</w:t>
            </w: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49"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9111"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49"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81"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81"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7149"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49"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98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8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149"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49"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98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8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149"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4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714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14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986" w:type="dxa"/>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z w:val="20"/>
                <w:szCs w:val="20"/>
              </w:rPr>
              <w:t>注：我部门（单位）无此项内容，本表无数据</w:t>
            </w:r>
          </w:p>
        </w:tc>
      </w:tr>
    </w:tbl>
    <w:p/>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420" w:leftChars="0" w:right="0" w:rightChars="0"/>
        <w:rPr>
          <w:rStyle w:val="6"/>
          <w:rFonts w:hint="eastAsia" w:ascii="微软雅黑" w:hAnsi="微软雅黑" w:eastAsia="微软雅黑" w:cs="微软雅黑"/>
          <w:i w:val="0"/>
          <w:caps w:val="0"/>
          <w:color w:val="333333"/>
          <w:spacing w:val="0"/>
          <w:sz w:val="24"/>
          <w:szCs w:val="24"/>
          <w:shd w:val="clear" w:fill="FFFFFF"/>
        </w:rPr>
      </w:pPr>
      <w:r>
        <w:rPr>
          <w:rStyle w:val="6"/>
          <w:rFonts w:hint="eastAsia" w:ascii="微软雅黑" w:hAnsi="微软雅黑" w:eastAsia="微软雅黑" w:cs="微软雅黑"/>
          <w:i w:val="0"/>
          <w:caps w:val="0"/>
          <w:color w:val="333333"/>
          <w:spacing w:val="0"/>
          <w:sz w:val="24"/>
          <w:szCs w:val="24"/>
          <w:shd w:val="clear" w:fill="FFFFFF"/>
          <w:lang w:eastAsia="zh-CN"/>
        </w:rPr>
        <w:t>20</w:t>
      </w:r>
      <w:r>
        <w:rPr>
          <w:rStyle w:val="6"/>
          <w:rFonts w:hint="eastAsia" w:ascii="微软雅黑" w:hAnsi="微软雅黑" w:eastAsia="微软雅黑" w:cs="微软雅黑"/>
          <w:i w:val="0"/>
          <w:caps w:val="0"/>
          <w:color w:val="333333"/>
          <w:spacing w:val="0"/>
          <w:sz w:val="24"/>
          <w:szCs w:val="24"/>
          <w:shd w:val="clear" w:fill="FFFFFF"/>
          <w:lang w:val="en-US" w:eastAsia="zh-CN"/>
        </w:rPr>
        <w:t>21</w:t>
      </w:r>
      <w:r>
        <w:rPr>
          <w:rStyle w:val="6"/>
          <w:rFonts w:hint="eastAsia" w:ascii="微软雅黑" w:hAnsi="微软雅黑" w:eastAsia="微软雅黑" w:cs="微软雅黑"/>
          <w:i w:val="0"/>
          <w:caps w:val="0"/>
          <w:color w:val="333333"/>
          <w:spacing w:val="0"/>
          <w:sz w:val="24"/>
          <w:szCs w:val="24"/>
          <w:shd w:val="clear" w:fill="FFFFFF"/>
          <w:lang w:eastAsia="zh-CN"/>
        </w:rPr>
        <w:t>年度</w:t>
      </w:r>
      <w:r>
        <w:rPr>
          <w:rStyle w:val="6"/>
          <w:rFonts w:hint="eastAsia" w:ascii="微软雅黑" w:hAnsi="微软雅黑" w:eastAsia="微软雅黑" w:cs="微软雅黑"/>
          <w:i w:val="0"/>
          <w:caps w:val="0"/>
          <w:color w:val="333333"/>
          <w:spacing w:val="0"/>
          <w:sz w:val="24"/>
          <w:szCs w:val="24"/>
          <w:shd w:val="clear" w:fill="FFFFFF"/>
        </w:rPr>
        <w:t>部门决算情况说明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b/>
          <w:bCs/>
          <w:i w:val="0"/>
          <w:caps w:val="0"/>
          <w:color w:val="auto"/>
          <w:spacing w:val="0"/>
          <w:sz w:val="28"/>
          <w:szCs w:val="28"/>
          <w:shd w:val="clear" w:fill="FFFFFF"/>
        </w:rPr>
      </w:pPr>
      <w:r>
        <w:rPr>
          <w:rFonts w:hint="eastAsia" w:asciiTheme="minorEastAsia" w:hAnsiTheme="minorEastAsia" w:eastAsiaTheme="minorEastAsia" w:cstheme="minorEastAsia"/>
          <w:b/>
          <w:bCs/>
          <w:i w:val="0"/>
          <w:caps w:val="0"/>
          <w:color w:val="auto"/>
          <w:spacing w:val="0"/>
          <w:sz w:val="28"/>
          <w:szCs w:val="28"/>
          <w:shd w:val="clear" w:fill="FFFFFF"/>
          <w:lang w:val="en-US" w:eastAsia="zh-CN"/>
        </w:rPr>
        <w:t>（一）</w:t>
      </w:r>
      <w:r>
        <w:rPr>
          <w:rFonts w:hint="eastAsia" w:asciiTheme="minorEastAsia" w:hAnsiTheme="minorEastAsia" w:eastAsiaTheme="minorEastAsia" w:cstheme="minorEastAsia"/>
          <w:b/>
          <w:bCs/>
          <w:i w:val="0"/>
          <w:caps w:val="0"/>
          <w:color w:val="auto"/>
          <w:spacing w:val="0"/>
          <w:sz w:val="28"/>
          <w:szCs w:val="28"/>
          <w:shd w:val="clear" w:fill="FFFFFF"/>
        </w:rPr>
        <w:t>预算执行情况分析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560" w:firstLineChars="2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单位</w:t>
      </w:r>
      <w:r>
        <w:rPr>
          <w:rFonts w:hint="eastAsia" w:asciiTheme="minorEastAsia" w:hAnsiTheme="minorEastAsia" w:eastAsiaTheme="minorEastAsia" w:cstheme="minorEastAsia"/>
          <w:color w:val="auto"/>
          <w:sz w:val="28"/>
          <w:szCs w:val="28"/>
          <w:lang w:val="en-US" w:eastAsia="zh-CN"/>
        </w:rPr>
        <w:t>20</w:t>
      </w:r>
      <w:r>
        <w:rPr>
          <w:rFonts w:hint="eastAsia" w:asciiTheme="minorEastAsia" w:hAnsiTheme="minorEastAsia" w:eastAsiaTheme="minorEastAsia" w:cstheme="minorEastAsia"/>
          <w:color w:val="auto"/>
          <w:sz w:val="28"/>
          <w:szCs w:val="28"/>
          <w:lang w:eastAsia="zh-CN"/>
        </w:rPr>
        <w:t>21年度收入总计</w:t>
      </w:r>
      <w:r>
        <w:rPr>
          <w:rFonts w:hint="eastAsia" w:asciiTheme="minorEastAsia" w:hAnsiTheme="minorEastAsia" w:cstheme="minorEastAsia"/>
          <w:color w:val="auto"/>
          <w:sz w:val="28"/>
          <w:szCs w:val="28"/>
          <w:lang w:val="en-US" w:eastAsia="zh-CN"/>
        </w:rPr>
        <w:t>139.11</w:t>
      </w:r>
      <w:r>
        <w:rPr>
          <w:rFonts w:hint="eastAsia" w:asciiTheme="minorEastAsia" w:hAnsiTheme="minorEastAsia" w:eastAsiaTheme="minorEastAsia" w:cstheme="minorEastAsia"/>
          <w:color w:val="auto"/>
          <w:sz w:val="28"/>
          <w:szCs w:val="28"/>
          <w:lang w:eastAsia="zh-CN"/>
        </w:rPr>
        <w:t>万元，其中：公共预算财政拨款收</w:t>
      </w:r>
      <w:r>
        <w:rPr>
          <w:rFonts w:hint="eastAsia" w:asciiTheme="minorEastAsia" w:hAnsiTheme="minorEastAsia" w:cstheme="minorEastAsia"/>
          <w:color w:val="auto"/>
          <w:sz w:val="28"/>
          <w:szCs w:val="28"/>
          <w:lang w:val="en-US" w:eastAsia="zh-CN"/>
        </w:rPr>
        <w:t>入138.45</w:t>
      </w:r>
      <w:r>
        <w:rPr>
          <w:rFonts w:hint="eastAsia" w:asciiTheme="minorEastAsia" w:hAnsiTheme="minorEastAsia" w:eastAsiaTheme="minorEastAsia" w:cstheme="minorEastAsia"/>
          <w:color w:val="auto"/>
          <w:sz w:val="28"/>
          <w:szCs w:val="28"/>
          <w:lang w:eastAsia="zh-CN"/>
        </w:rPr>
        <w:t>万元、其他收入</w:t>
      </w:r>
      <w:r>
        <w:rPr>
          <w:rFonts w:hint="eastAsia" w:asciiTheme="minorEastAsia" w:hAnsiTheme="minorEastAsia" w:cstheme="minorEastAsia"/>
          <w:color w:val="auto"/>
          <w:sz w:val="28"/>
          <w:szCs w:val="28"/>
          <w:lang w:val="en-US" w:eastAsia="zh-CN"/>
        </w:rPr>
        <w:t>0.66万</w:t>
      </w:r>
      <w:r>
        <w:rPr>
          <w:rFonts w:hint="eastAsia" w:asciiTheme="minorEastAsia" w:hAnsiTheme="minorEastAsia" w:eastAsiaTheme="minorEastAsia" w:cstheme="minorEastAsia"/>
          <w:color w:val="auto"/>
          <w:sz w:val="28"/>
          <w:szCs w:val="28"/>
          <w:lang w:eastAsia="zh-CN"/>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560" w:firstLineChars="2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2021年度支出总计</w:t>
      </w:r>
      <w:r>
        <w:rPr>
          <w:rFonts w:hint="eastAsia" w:asciiTheme="minorEastAsia" w:hAnsiTheme="minorEastAsia" w:cstheme="minorEastAsia"/>
          <w:color w:val="auto"/>
          <w:sz w:val="28"/>
          <w:szCs w:val="28"/>
          <w:lang w:val="en-US" w:eastAsia="zh-CN"/>
        </w:rPr>
        <w:t>139.11</w:t>
      </w:r>
      <w:r>
        <w:rPr>
          <w:rFonts w:hint="eastAsia" w:asciiTheme="minorEastAsia" w:hAnsiTheme="minorEastAsia" w:eastAsiaTheme="minorEastAsia" w:cstheme="minorEastAsia"/>
          <w:color w:val="auto"/>
          <w:sz w:val="28"/>
          <w:szCs w:val="28"/>
          <w:lang w:eastAsia="zh-CN"/>
        </w:rPr>
        <w:t>万元，其中基本支出</w:t>
      </w:r>
      <w:r>
        <w:rPr>
          <w:rFonts w:hint="eastAsia" w:asciiTheme="minorEastAsia" w:hAnsiTheme="minorEastAsia" w:cstheme="minorEastAsia"/>
          <w:color w:val="auto"/>
          <w:sz w:val="28"/>
          <w:szCs w:val="28"/>
          <w:lang w:val="en-US" w:eastAsia="zh-CN"/>
        </w:rPr>
        <w:t>139.11</w:t>
      </w:r>
      <w:r>
        <w:rPr>
          <w:rFonts w:hint="eastAsia" w:asciiTheme="minorEastAsia" w:hAnsiTheme="minorEastAsia" w:eastAsiaTheme="minorEastAsia" w:cstheme="minorEastAsia"/>
          <w:color w:val="auto"/>
          <w:sz w:val="28"/>
          <w:szCs w:val="28"/>
          <w:lang w:eastAsia="zh-CN"/>
        </w:rPr>
        <w:t>万元</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项目支出0万元</w:t>
      </w:r>
      <w:r>
        <w:rPr>
          <w:rFonts w:hint="eastAsia" w:asciiTheme="minorEastAsia" w:hAnsiTheme="minorEastAsia" w:eastAsiaTheme="minorEastAsia" w:cstheme="minorEastAsia"/>
          <w:color w:val="auto"/>
          <w:sz w:val="28"/>
          <w:szCs w:val="28"/>
          <w:lang w:eastAsia="zh-CN"/>
        </w:rPr>
        <w:t>。</w:t>
      </w:r>
    </w:p>
    <w:p>
      <w:pPr>
        <w:ind w:firstLine="280" w:firstLineChars="100"/>
        <w:jc w:val="left"/>
        <w:rPr>
          <w:rFonts w:hint="eastAsia" w:ascii="宋体" w:hAnsi="宋体" w:eastAsia="宋体" w:cs="宋体"/>
          <w:color w:val="auto"/>
          <w:sz w:val="28"/>
          <w:szCs w:val="28"/>
        </w:rPr>
      </w:pPr>
      <w:r>
        <w:rPr>
          <w:rFonts w:hint="eastAsia" w:ascii="宋体" w:hAnsi="宋体" w:eastAsia="宋体" w:cs="宋体"/>
          <w:color w:val="auto"/>
          <w:sz w:val="28"/>
          <w:szCs w:val="28"/>
        </w:rPr>
        <w:t>单位本年度实际收到的</w:t>
      </w:r>
      <w:r>
        <w:rPr>
          <w:rFonts w:hint="eastAsia" w:ascii="宋体" w:hAnsi="宋体" w:eastAsia="宋体" w:cs="宋体"/>
          <w:bCs/>
          <w:color w:val="auto"/>
          <w:sz w:val="28"/>
          <w:szCs w:val="28"/>
        </w:rPr>
        <w:t>一般</w:t>
      </w:r>
      <w:r>
        <w:rPr>
          <w:rFonts w:hint="eastAsia" w:ascii="宋体" w:hAnsi="宋体" w:eastAsia="宋体" w:cs="宋体"/>
          <w:color w:val="auto"/>
          <w:sz w:val="28"/>
          <w:szCs w:val="28"/>
        </w:rPr>
        <w:t>公共预算财政拨款入</w:t>
      </w:r>
      <w:r>
        <w:rPr>
          <w:rFonts w:hint="eastAsia" w:ascii="宋体" w:hAnsi="宋体" w:eastAsia="宋体" w:cs="宋体"/>
          <w:color w:val="auto"/>
          <w:sz w:val="28"/>
          <w:szCs w:val="28"/>
          <w:lang w:val="en-US" w:eastAsia="zh-CN"/>
        </w:rPr>
        <w:t>138.45</w:t>
      </w:r>
      <w:r>
        <w:rPr>
          <w:rFonts w:hint="eastAsia" w:ascii="宋体" w:hAnsi="宋体" w:eastAsia="宋体" w:cs="宋体"/>
          <w:color w:val="auto"/>
          <w:sz w:val="28"/>
          <w:szCs w:val="28"/>
        </w:rPr>
        <w:t>万元，比去年</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03.66</w:t>
      </w:r>
      <w:r>
        <w:rPr>
          <w:rFonts w:hint="eastAsia" w:ascii="宋体" w:hAnsi="宋体" w:eastAsia="宋体" w:cs="宋体"/>
          <w:color w:val="auto"/>
          <w:sz w:val="28"/>
          <w:szCs w:val="28"/>
        </w:rPr>
        <w:t>万元，同比上年</w:t>
      </w:r>
      <w:r>
        <w:rPr>
          <w:rFonts w:hint="eastAsia" w:ascii="宋体" w:hAnsi="宋体" w:eastAsia="宋体" w:cs="宋体"/>
          <w:color w:val="auto"/>
          <w:sz w:val="28"/>
          <w:szCs w:val="28"/>
          <w:lang w:eastAsia="zh-CN"/>
        </w:rPr>
        <w:t>增加</w:t>
      </w:r>
      <w:r>
        <w:rPr>
          <w:rFonts w:hint="eastAsia" w:ascii="宋体" w:hAnsi="宋体" w:eastAsia="宋体" w:cs="宋体"/>
          <w:color w:val="auto"/>
          <w:sz w:val="28"/>
          <w:szCs w:val="28"/>
          <w:lang w:val="en-US" w:eastAsia="zh-CN"/>
        </w:rPr>
        <w:t>34.79</w:t>
      </w:r>
      <w:r>
        <w:rPr>
          <w:rFonts w:hint="eastAsia" w:ascii="宋体" w:hAnsi="宋体" w:eastAsia="宋体" w:cs="宋体"/>
          <w:color w:val="auto"/>
          <w:sz w:val="28"/>
          <w:szCs w:val="28"/>
        </w:rPr>
        <w:t>万元，</w:t>
      </w:r>
      <w:r>
        <w:rPr>
          <w:rFonts w:hint="eastAsia" w:ascii="宋体" w:hAnsi="宋体" w:eastAsia="宋体" w:cs="宋体"/>
          <w:color w:val="auto"/>
          <w:sz w:val="28"/>
          <w:szCs w:val="28"/>
          <w:lang w:eastAsia="zh-CN"/>
        </w:rPr>
        <w:t>涨幅</w:t>
      </w:r>
      <w:r>
        <w:rPr>
          <w:rFonts w:hint="eastAsia" w:ascii="宋体" w:hAnsi="宋体" w:eastAsia="宋体" w:cs="宋体"/>
          <w:color w:val="auto"/>
          <w:sz w:val="28"/>
          <w:szCs w:val="28"/>
          <w:lang w:val="en-US" w:eastAsia="zh-CN"/>
        </w:rPr>
        <w:t>33.56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其他收入0.66万元</w:t>
      </w:r>
      <w:r>
        <w:rPr>
          <w:rFonts w:hint="eastAsia" w:ascii="宋体" w:hAnsi="宋体" w:eastAsia="宋体" w:cs="宋体"/>
          <w:color w:val="auto"/>
          <w:sz w:val="28"/>
          <w:szCs w:val="28"/>
        </w:rPr>
        <w:t>。</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b w:val="0"/>
          <w:i w:val="0"/>
          <w:caps w:val="0"/>
          <w:color w:val="auto"/>
          <w:spacing w:val="0"/>
          <w:sz w:val="28"/>
          <w:szCs w:val="28"/>
          <w:shd w:val="clear" w:fill="FFFFFF"/>
          <w:lang w:val="en-US" w:eastAsia="zh-CN"/>
        </w:rPr>
      </w:pPr>
      <w:r>
        <w:rPr>
          <w:rFonts w:hint="eastAsia" w:asciiTheme="minorEastAsia" w:hAnsiTheme="minorEastAsia" w:eastAsiaTheme="minorEastAsia" w:cstheme="minorEastAsia"/>
          <w:b w:val="0"/>
          <w:i w:val="0"/>
          <w:caps w:val="0"/>
          <w:color w:val="auto"/>
          <w:spacing w:val="0"/>
          <w:sz w:val="28"/>
          <w:szCs w:val="28"/>
          <w:shd w:val="clear" w:fill="FFFFFF"/>
          <w:lang w:val="en-US" w:eastAsia="zh-CN"/>
        </w:rPr>
        <w:t>收入与预算对比分析</w:t>
      </w:r>
    </w:p>
    <w:p>
      <w:pPr>
        <w:snapToGrid w:val="0"/>
        <w:spacing w:line="520" w:lineRule="exact"/>
        <w:ind w:firstLine="560" w:firstLineChars="200"/>
        <w:rPr>
          <w:rFonts w:hint="eastAsia" w:ascii="宋体" w:hAnsi="宋体" w:eastAsia="宋体" w:cs="宋体"/>
          <w:color w:val="auto"/>
          <w:sz w:val="28"/>
          <w:szCs w:val="28"/>
        </w:rPr>
      </w:pPr>
      <w:r>
        <w:rPr>
          <w:rFonts w:hint="eastAsia" w:asciiTheme="minorEastAsia" w:hAnsiTheme="minorEastAsia" w:cstheme="minorEastAsia"/>
          <w:color w:val="auto"/>
          <w:sz w:val="28"/>
          <w:szCs w:val="28"/>
          <w:lang w:val="en-US" w:eastAsia="zh-CN"/>
        </w:rPr>
        <w:t>20</w:t>
      </w:r>
      <w:r>
        <w:rPr>
          <w:rFonts w:hint="eastAsia" w:asciiTheme="minorEastAsia" w:hAnsiTheme="minorEastAsia" w:cstheme="minorEastAsia"/>
          <w:color w:val="auto"/>
          <w:sz w:val="28"/>
          <w:szCs w:val="28"/>
          <w:highlight w:val="none"/>
          <w:lang w:val="en-US" w:eastAsia="zh-CN"/>
        </w:rPr>
        <w:t>21</w:t>
      </w:r>
      <w:r>
        <w:rPr>
          <w:rFonts w:hint="eastAsia" w:asciiTheme="minorEastAsia" w:hAnsiTheme="minorEastAsia" w:eastAsiaTheme="minorEastAsia" w:cstheme="minorEastAsia"/>
          <w:color w:val="auto"/>
          <w:sz w:val="28"/>
          <w:szCs w:val="28"/>
          <w:highlight w:val="none"/>
          <w:lang w:val="en-US" w:eastAsia="zh-CN"/>
        </w:rPr>
        <w:t>年我单位年初总预算</w:t>
      </w:r>
      <w:r>
        <w:rPr>
          <w:rFonts w:hint="eastAsia" w:asciiTheme="minorEastAsia" w:hAnsiTheme="minorEastAsia" w:cstheme="minorEastAsia"/>
          <w:color w:val="auto"/>
          <w:sz w:val="28"/>
          <w:szCs w:val="28"/>
          <w:highlight w:val="none"/>
          <w:lang w:val="en-US" w:eastAsia="zh-CN"/>
        </w:rPr>
        <w:t>109.48</w:t>
      </w:r>
      <w:r>
        <w:rPr>
          <w:rFonts w:hint="eastAsia" w:asciiTheme="minorEastAsia" w:hAnsiTheme="minorEastAsia" w:eastAsiaTheme="minorEastAsia" w:cstheme="minorEastAsia"/>
          <w:color w:val="auto"/>
          <w:sz w:val="28"/>
          <w:szCs w:val="28"/>
          <w:highlight w:val="none"/>
          <w:lang w:val="en-US" w:eastAsia="zh-CN"/>
        </w:rPr>
        <w:t>万元，总</w:t>
      </w:r>
      <w:r>
        <w:rPr>
          <w:rFonts w:hint="eastAsia" w:asciiTheme="minorEastAsia" w:hAnsiTheme="minorEastAsia" w:eastAsiaTheme="minorEastAsia" w:cstheme="minorEastAsia"/>
          <w:color w:val="auto"/>
          <w:sz w:val="28"/>
          <w:szCs w:val="28"/>
          <w:lang w:val="en-US" w:eastAsia="zh-CN"/>
        </w:rPr>
        <w:t>支出</w:t>
      </w:r>
      <w:r>
        <w:rPr>
          <w:rFonts w:hint="eastAsia" w:asciiTheme="minorEastAsia" w:hAnsiTheme="minorEastAsia" w:cstheme="minorEastAsia"/>
          <w:color w:val="auto"/>
          <w:sz w:val="28"/>
          <w:szCs w:val="28"/>
          <w:lang w:val="en-US" w:eastAsia="zh-CN"/>
        </w:rPr>
        <w:t>139.11万</w:t>
      </w:r>
      <w:r>
        <w:rPr>
          <w:rFonts w:hint="eastAsia" w:asciiTheme="minorEastAsia" w:hAnsiTheme="minorEastAsia" w:eastAsiaTheme="minorEastAsia" w:cstheme="minorEastAsia"/>
          <w:color w:val="auto"/>
          <w:sz w:val="28"/>
          <w:szCs w:val="28"/>
          <w:lang w:val="en-US" w:eastAsia="zh-CN"/>
        </w:rPr>
        <w:t>元，超出预算</w:t>
      </w:r>
      <w:r>
        <w:rPr>
          <w:rFonts w:hint="eastAsia" w:asciiTheme="minorEastAsia" w:hAnsiTheme="minorEastAsia" w:eastAsiaTheme="minorEastAsia" w:cstheme="minorEastAsia"/>
          <w:color w:val="auto"/>
          <w:sz w:val="28"/>
          <w:szCs w:val="28"/>
          <w:highlight w:val="none"/>
          <w:lang w:val="en-US" w:eastAsia="zh-CN"/>
        </w:rPr>
        <w:t>比例</w:t>
      </w:r>
      <w:r>
        <w:rPr>
          <w:rFonts w:hint="eastAsia" w:asciiTheme="minorEastAsia" w:hAnsiTheme="minorEastAsia" w:cstheme="minorEastAsia"/>
          <w:color w:val="auto"/>
          <w:sz w:val="28"/>
          <w:szCs w:val="28"/>
          <w:highlight w:val="none"/>
          <w:lang w:val="en-US" w:eastAsia="zh-CN"/>
        </w:rPr>
        <w:t>27.06</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lang w:val="en-US" w:eastAsia="zh-CN"/>
        </w:rPr>
        <w:t>其</w:t>
      </w:r>
      <w:r>
        <w:rPr>
          <w:rFonts w:hint="eastAsia" w:asciiTheme="minorEastAsia" w:hAnsiTheme="minorEastAsia" w:eastAsiaTheme="minorEastAsia" w:cstheme="minorEastAsia"/>
          <w:color w:val="auto"/>
          <w:sz w:val="28"/>
          <w:szCs w:val="28"/>
          <w:highlight w:val="none"/>
          <w:lang w:val="en-US" w:eastAsia="zh-CN"/>
        </w:rPr>
        <w:t>中：人员经费预算</w:t>
      </w:r>
      <w:r>
        <w:rPr>
          <w:rFonts w:hint="eastAsia" w:asciiTheme="minorEastAsia" w:hAnsiTheme="minorEastAsia" w:cstheme="minorEastAsia"/>
          <w:color w:val="auto"/>
          <w:sz w:val="28"/>
          <w:szCs w:val="28"/>
          <w:highlight w:val="none"/>
          <w:lang w:val="en-US" w:eastAsia="zh-CN"/>
        </w:rPr>
        <w:t>48.38</w:t>
      </w:r>
      <w:r>
        <w:rPr>
          <w:rFonts w:hint="eastAsia" w:asciiTheme="minorEastAsia" w:hAnsiTheme="minorEastAsia" w:eastAsiaTheme="minorEastAsia" w:cstheme="minorEastAsia"/>
          <w:color w:val="auto"/>
          <w:sz w:val="28"/>
          <w:szCs w:val="28"/>
          <w:highlight w:val="none"/>
          <w:lang w:val="en-US" w:eastAsia="zh-CN"/>
        </w:rPr>
        <w:t>万元（含工资福利支出、对个人及家庭补助支出）</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202</w:t>
      </w:r>
      <w:r>
        <w:rPr>
          <w:rFonts w:hint="eastAsia" w:asciiTheme="minorEastAsia" w:hAnsi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lang w:val="en-US" w:eastAsia="zh-CN"/>
        </w:rPr>
        <w:t>年人员经费实际支出95.46万</w:t>
      </w:r>
      <w:r>
        <w:rPr>
          <w:rFonts w:hint="eastAsia" w:asciiTheme="minorEastAsia" w:hAnsiTheme="minorEastAsia" w:eastAsiaTheme="minorEastAsia" w:cstheme="minorEastAsia"/>
          <w:color w:val="auto"/>
          <w:sz w:val="28"/>
          <w:szCs w:val="28"/>
          <w:lang w:val="en-US" w:eastAsia="zh-CN"/>
        </w:rPr>
        <w:t>元，</w:t>
      </w: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人员经费实际支出</w:t>
      </w:r>
      <w:r>
        <w:rPr>
          <w:rFonts w:hint="eastAsia" w:ascii="宋体" w:hAnsi="宋体" w:eastAsia="宋体" w:cs="宋体"/>
          <w:color w:val="auto"/>
          <w:sz w:val="28"/>
          <w:szCs w:val="28"/>
          <w:lang w:val="en-US" w:eastAsia="zh-CN"/>
        </w:rPr>
        <w:t>88.79</w:t>
      </w:r>
      <w:r>
        <w:rPr>
          <w:rFonts w:hint="eastAsia" w:ascii="宋体" w:hAnsi="宋体" w:eastAsia="宋体" w:cs="宋体"/>
          <w:color w:val="auto"/>
          <w:sz w:val="28"/>
          <w:szCs w:val="28"/>
        </w:rPr>
        <w:t>万元，</w:t>
      </w:r>
      <w:r>
        <w:rPr>
          <w:rFonts w:hint="eastAsia" w:asciiTheme="minorEastAsia" w:hAnsiTheme="minorEastAsia" w:eastAsiaTheme="minorEastAsia" w:cstheme="minorEastAsia"/>
          <w:color w:val="auto"/>
          <w:sz w:val="28"/>
          <w:szCs w:val="28"/>
          <w:lang w:val="en-US" w:eastAsia="zh-CN"/>
        </w:rPr>
        <w:t>同比上年</w:t>
      </w:r>
      <w:r>
        <w:rPr>
          <w:rFonts w:hint="eastAsia" w:asciiTheme="minorEastAsia" w:hAnsiTheme="minorEastAsia" w:cstheme="minorEastAsia"/>
          <w:color w:val="auto"/>
          <w:sz w:val="28"/>
          <w:szCs w:val="28"/>
          <w:lang w:val="en-US" w:eastAsia="zh-CN"/>
        </w:rPr>
        <w:t>增长6.67</w:t>
      </w:r>
      <w:r>
        <w:rPr>
          <w:rFonts w:hint="eastAsia" w:asciiTheme="minorEastAsia" w:hAnsiTheme="minorEastAsia" w:eastAsiaTheme="minorEastAsia" w:cstheme="minorEastAsia"/>
          <w:color w:val="auto"/>
          <w:sz w:val="28"/>
          <w:szCs w:val="28"/>
          <w:lang w:val="en-US" w:eastAsia="zh-CN"/>
        </w:rPr>
        <w:t>万元</w:t>
      </w:r>
      <w:r>
        <w:rPr>
          <w:rFonts w:hint="eastAsia" w:asciiTheme="minorEastAsia" w:hAnsiTheme="minorEastAsia" w:cstheme="minorEastAsia"/>
          <w:color w:val="auto"/>
          <w:sz w:val="28"/>
          <w:szCs w:val="28"/>
          <w:lang w:val="en-US" w:eastAsia="zh-CN"/>
        </w:rPr>
        <w:t>涨幅7.51</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涨</w:t>
      </w:r>
      <w:r>
        <w:rPr>
          <w:rFonts w:hint="eastAsia" w:asciiTheme="minorEastAsia" w:hAnsiTheme="minorEastAsia" w:eastAsiaTheme="minorEastAsia" w:cstheme="minorEastAsia"/>
          <w:color w:val="auto"/>
          <w:sz w:val="28"/>
          <w:szCs w:val="28"/>
          <w:lang w:val="en-US" w:eastAsia="zh-CN"/>
        </w:rPr>
        <w:t>幅原因为</w:t>
      </w:r>
      <w:r>
        <w:rPr>
          <w:rFonts w:hint="eastAsia" w:asciiTheme="minorEastAsia" w:hAnsiTheme="minorEastAsia" w:cstheme="minorEastAsia"/>
          <w:color w:val="auto"/>
          <w:sz w:val="28"/>
          <w:szCs w:val="28"/>
          <w:lang w:val="en-US" w:eastAsia="zh-CN"/>
        </w:rPr>
        <w:t>本年度工资、级别工资调整增加</w:t>
      </w:r>
      <w:r>
        <w:rPr>
          <w:rFonts w:hint="eastAsia" w:asciiTheme="minorEastAsia" w:hAnsiTheme="minorEastAsia" w:eastAsiaTheme="minorEastAsia" w:cstheme="minorEastAsia"/>
          <w:color w:val="auto"/>
          <w:sz w:val="28"/>
          <w:szCs w:val="28"/>
          <w:lang w:val="en-US" w:eastAsia="zh-CN"/>
        </w:rPr>
        <w:t>。</w:t>
      </w:r>
      <w:r>
        <w:rPr>
          <w:rFonts w:hint="eastAsia" w:ascii="宋体" w:hAnsi="宋体" w:eastAsia="宋体" w:cs="宋体"/>
          <w:color w:val="auto"/>
          <w:sz w:val="28"/>
          <w:szCs w:val="28"/>
        </w:rPr>
        <w:t>公用经费</w:t>
      </w:r>
      <w:r>
        <w:rPr>
          <w:rFonts w:hint="eastAsia" w:ascii="宋体" w:hAnsi="宋体" w:eastAsia="宋体" w:cs="宋体"/>
          <w:color w:val="auto"/>
          <w:sz w:val="28"/>
          <w:szCs w:val="28"/>
          <w:lang w:eastAsia="zh-CN"/>
        </w:rPr>
        <w:t>年初</w:t>
      </w:r>
      <w:r>
        <w:rPr>
          <w:rFonts w:hint="eastAsia" w:ascii="宋体" w:hAnsi="宋体" w:eastAsia="宋体" w:cs="宋体"/>
          <w:color w:val="auto"/>
          <w:sz w:val="28"/>
          <w:szCs w:val="28"/>
        </w:rPr>
        <w:t>预算为</w:t>
      </w:r>
      <w:r>
        <w:rPr>
          <w:rFonts w:hint="eastAsia" w:ascii="宋体" w:hAnsi="宋体" w:eastAsia="宋体" w:cs="宋体"/>
          <w:color w:val="auto"/>
          <w:sz w:val="28"/>
          <w:szCs w:val="28"/>
          <w:lang w:val="en-US" w:eastAsia="zh-CN"/>
        </w:rPr>
        <w:t>61.1</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万元，20</w:t>
      </w:r>
      <w:r>
        <w:rPr>
          <w:rFonts w:hint="eastAsia" w:ascii="宋体" w:hAnsi="宋体" w:eastAsia="宋体" w:cs="宋体"/>
          <w:color w:val="auto"/>
          <w:sz w:val="28"/>
          <w:szCs w:val="28"/>
          <w:lang w:val="en-US" w:eastAsia="zh-CN"/>
        </w:rPr>
        <w:t>21</w:t>
      </w:r>
      <w:r>
        <w:rPr>
          <w:rFonts w:hint="eastAsia" w:ascii="宋体" w:hAnsi="宋体" w:eastAsia="宋体" w:cs="宋体"/>
          <w:color w:val="auto"/>
          <w:sz w:val="28"/>
          <w:szCs w:val="28"/>
        </w:rPr>
        <w:t>年公用经费实际支出</w:t>
      </w:r>
      <w:r>
        <w:rPr>
          <w:rFonts w:hint="eastAsia" w:ascii="宋体" w:hAnsi="宋体" w:eastAsia="宋体" w:cs="宋体"/>
          <w:color w:val="auto"/>
          <w:sz w:val="28"/>
          <w:szCs w:val="28"/>
          <w:lang w:val="en-US" w:eastAsia="zh-CN"/>
        </w:rPr>
        <w:t>42.98</w:t>
      </w:r>
      <w:r>
        <w:rPr>
          <w:rFonts w:hint="eastAsia" w:ascii="宋体" w:hAnsi="宋体" w:eastAsia="宋体" w:cs="宋体"/>
          <w:color w:val="auto"/>
          <w:sz w:val="28"/>
          <w:szCs w:val="28"/>
        </w:rPr>
        <w:t>万元，同比上年</w:t>
      </w:r>
      <w:r>
        <w:rPr>
          <w:rFonts w:hint="eastAsia" w:ascii="宋体" w:hAnsi="宋体" w:eastAsia="宋体" w:cs="宋体"/>
          <w:color w:val="auto"/>
          <w:sz w:val="28"/>
          <w:szCs w:val="28"/>
          <w:lang w:val="en-US" w:eastAsia="zh-CN"/>
        </w:rPr>
        <w:t>14.87</w:t>
      </w:r>
      <w:r>
        <w:rPr>
          <w:rFonts w:hint="eastAsia" w:ascii="宋体" w:hAnsi="宋体" w:eastAsia="宋体" w:cs="宋体"/>
          <w:color w:val="auto"/>
          <w:sz w:val="28"/>
          <w:szCs w:val="28"/>
        </w:rPr>
        <w:t>万元</w:t>
      </w:r>
      <w:r>
        <w:rPr>
          <w:rFonts w:hint="eastAsia" w:ascii="宋体" w:hAnsi="宋体" w:eastAsia="宋体" w:cs="宋体"/>
          <w:color w:val="auto"/>
          <w:sz w:val="28"/>
          <w:szCs w:val="28"/>
          <w:lang w:eastAsia="zh-CN"/>
        </w:rPr>
        <w:t>增加</w:t>
      </w:r>
      <w:r>
        <w:rPr>
          <w:rFonts w:hint="eastAsia" w:ascii="宋体" w:hAnsi="宋体" w:eastAsia="宋体" w:cs="宋体"/>
          <w:color w:val="auto"/>
          <w:sz w:val="28"/>
          <w:szCs w:val="28"/>
          <w:lang w:val="en-US" w:eastAsia="zh-CN"/>
        </w:rPr>
        <w:t>28.11</w:t>
      </w:r>
      <w:r>
        <w:rPr>
          <w:rFonts w:hint="eastAsia" w:ascii="宋体" w:hAnsi="宋体" w:eastAsia="宋体" w:cs="宋体"/>
          <w:color w:val="auto"/>
          <w:sz w:val="28"/>
          <w:szCs w:val="28"/>
        </w:rPr>
        <w:t>万元，</w:t>
      </w:r>
      <w:r>
        <w:rPr>
          <w:rFonts w:hint="eastAsia" w:ascii="宋体" w:hAnsi="宋体" w:eastAsia="宋体" w:cs="宋体"/>
          <w:color w:val="auto"/>
          <w:sz w:val="28"/>
          <w:szCs w:val="28"/>
          <w:lang w:eastAsia="zh-CN"/>
        </w:rPr>
        <w:t>涨</w:t>
      </w:r>
      <w:r>
        <w:rPr>
          <w:rFonts w:hint="eastAsia" w:ascii="宋体" w:hAnsi="宋体" w:eastAsia="宋体" w:cs="宋体"/>
          <w:color w:val="auto"/>
          <w:sz w:val="28"/>
          <w:szCs w:val="28"/>
        </w:rPr>
        <w:t>幅</w:t>
      </w:r>
      <w:r>
        <w:rPr>
          <w:rFonts w:hint="eastAsia" w:ascii="宋体" w:hAnsi="宋体" w:eastAsia="宋体" w:cs="宋体"/>
          <w:color w:val="auto"/>
          <w:sz w:val="28"/>
          <w:szCs w:val="28"/>
          <w:lang w:val="en-US" w:eastAsia="zh-CN"/>
        </w:rPr>
        <w:t>189.03</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增长</w:t>
      </w:r>
      <w:r>
        <w:rPr>
          <w:rFonts w:hint="eastAsia" w:ascii="宋体" w:hAnsi="宋体" w:eastAsia="宋体" w:cs="宋体"/>
          <w:color w:val="auto"/>
          <w:sz w:val="28"/>
          <w:szCs w:val="28"/>
        </w:rPr>
        <w:t>原因为专项费用-侨联、党派费用</w:t>
      </w:r>
      <w:r>
        <w:rPr>
          <w:rFonts w:hint="eastAsia" w:ascii="宋体" w:hAnsi="宋体" w:eastAsia="宋体" w:cs="宋体"/>
          <w:color w:val="auto"/>
          <w:sz w:val="28"/>
          <w:szCs w:val="28"/>
          <w:lang w:eastAsia="zh-CN"/>
        </w:rPr>
        <w:t>增加及本年度决算并入工商联数据</w:t>
      </w:r>
      <w:r>
        <w:rPr>
          <w:rFonts w:hint="eastAsia" w:ascii="宋体" w:hAnsi="宋体" w:eastAsia="宋体" w:cs="宋体"/>
          <w:color w:val="auto"/>
          <w:sz w:val="28"/>
          <w:szCs w:val="28"/>
        </w:rPr>
        <w:t>。</w:t>
      </w:r>
    </w:p>
    <w:p>
      <w:pPr>
        <w:snapToGrid w:val="0"/>
        <w:spacing w:line="520" w:lineRule="exact"/>
        <w:ind w:firstLine="560" w:firstLineChars="200"/>
        <w:rPr>
          <w:rFonts w:hint="eastAsia" w:ascii="宋体" w:hAnsi="宋体" w:eastAsia="宋体" w:cs="宋体"/>
          <w:color w:val="auto"/>
          <w:sz w:val="28"/>
          <w:szCs w:val="28"/>
        </w:rPr>
      </w:pP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leftChars="0" w:right="0" w:firstLine="420" w:firstLineChars="0"/>
        <w:rPr>
          <w:rFonts w:hint="eastAsia" w:asciiTheme="minorEastAsia" w:hAnsiTheme="minorEastAsia" w:eastAsiaTheme="minorEastAsia" w:cstheme="minorEastAsia"/>
          <w:b/>
          <w:bCs/>
          <w:i w:val="0"/>
          <w:caps w:val="0"/>
          <w:color w:val="auto"/>
          <w:spacing w:val="0"/>
          <w:sz w:val="28"/>
          <w:szCs w:val="28"/>
          <w:shd w:val="clear" w:fill="FFFFFF"/>
          <w:lang w:val="en-US" w:eastAsia="zh-CN"/>
        </w:rPr>
      </w:pPr>
      <w:r>
        <w:rPr>
          <w:rFonts w:hint="eastAsia" w:asciiTheme="minorEastAsia" w:hAnsiTheme="minorEastAsia" w:eastAsiaTheme="minorEastAsia" w:cstheme="minorEastAsia"/>
          <w:b/>
          <w:bCs/>
          <w:i w:val="0"/>
          <w:caps w:val="0"/>
          <w:color w:val="auto"/>
          <w:spacing w:val="0"/>
          <w:sz w:val="28"/>
          <w:szCs w:val="28"/>
          <w:shd w:val="clear" w:fill="FFFFFF"/>
          <w:lang w:val="en-US" w:eastAsia="zh-CN"/>
        </w:rPr>
        <w:t>收入结构分析</w:t>
      </w:r>
    </w:p>
    <w:p>
      <w:pPr>
        <w:snapToGrid w:val="0"/>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20</w:t>
      </w:r>
      <w:r>
        <w:rPr>
          <w:rFonts w:hint="eastAsia" w:asciiTheme="minorEastAsia" w:hAnsiTheme="minorEastAsia" w:eastAsiaTheme="minorEastAsia" w:cstheme="minorEastAsia"/>
          <w:color w:val="auto"/>
          <w:sz w:val="28"/>
          <w:szCs w:val="28"/>
          <w:lang w:val="en-US" w:eastAsia="zh-CN"/>
        </w:rPr>
        <w:t>21</w:t>
      </w:r>
      <w:r>
        <w:rPr>
          <w:rFonts w:hint="eastAsia" w:asciiTheme="minorEastAsia" w:hAnsiTheme="minorEastAsia" w:eastAsiaTheme="minorEastAsia" w:cstheme="minorEastAsia"/>
          <w:color w:val="auto"/>
          <w:sz w:val="28"/>
          <w:szCs w:val="28"/>
        </w:rPr>
        <w:t>年收入</w:t>
      </w:r>
      <w:r>
        <w:rPr>
          <w:rFonts w:hint="eastAsia" w:asciiTheme="minorEastAsia" w:hAnsiTheme="minorEastAsia" w:eastAsiaTheme="minorEastAsia" w:cstheme="minorEastAsia"/>
          <w:color w:val="auto"/>
          <w:sz w:val="28"/>
          <w:szCs w:val="28"/>
          <w:lang w:val="en-US" w:eastAsia="zh-CN"/>
        </w:rPr>
        <w:t>139.11</w:t>
      </w:r>
      <w:r>
        <w:rPr>
          <w:rFonts w:hint="eastAsia" w:asciiTheme="minorEastAsia" w:hAnsiTheme="minorEastAsia" w:eastAsiaTheme="minorEastAsia" w:cstheme="minorEastAsia"/>
          <w:color w:val="auto"/>
          <w:sz w:val="28"/>
          <w:szCs w:val="28"/>
        </w:rPr>
        <w:t>万元，</w:t>
      </w:r>
      <w:r>
        <w:rPr>
          <w:rFonts w:hint="eastAsia" w:asciiTheme="minorEastAsia" w:hAnsiTheme="minorEastAsia" w:eastAsiaTheme="minorEastAsia" w:cstheme="minorEastAsia"/>
          <w:color w:val="auto"/>
          <w:sz w:val="28"/>
          <w:szCs w:val="28"/>
          <w:lang w:val="en-US" w:eastAsia="zh-CN"/>
        </w:rPr>
        <w:t>相比上年度103.66万元，增加35.45万元，涨幅34.19%</w:t>
      </w:r>
      <w:r>
        <w:rPr>
          <w:rFonts w:hint="eastAsia" w:asciiTheme="minorEastAsia" w:hAnsiTheme="minorEastAsia" w:eastAsiaTheme="minorEastAsia" w:cstheme="minorEastAsia"/>
          <w:color w:val="auto"/>
          <w:sz w:val="28"/>
          <w:szCs w:val="28"/>
        </w:rPr>
        <w:t>。20</w:t>
      </w:r>
      <w:r>
        <w:rPr>
          <w:rFonts w:hint="eastAsia" w:asciiTheme="minorEastAsia" w:hAnsiTheme="minorEastAsia" w:eastAsiaTheme="minorEastAsia" w:cstheme="minorEastAsia"/>
          <w:color w:val="auto"/>
          <w:sz w:val="28"/>
          <w:szCs w:val="28"/>
          <w:lang w:val="en-US" w:eastAsia="zh-CN"/>
        </w:rPr>
        <w:t>21</w:t>
      </w:r>
      <w:r>
        <w:rPr>
          <w:rFonts w:hint="eastAsia" w:asciiTheme="minorEastAsia" w:hAnsiTheme="minorEastAsia" w:eastAsiaTheme="minorEastAsia" w:cstheme="minorEastAsia"/>
          <w:color w:val="auto"/>
          <w:sz w:val="28"/>
          <w:szCs w:val="28"/>
        </w:rPr>
        <w:t>年总支出</w:t>
      </w:r>
      <w:r>
        <w:rPr>
          <w:rFonts w:hint="eastAsia" w:asciiTheme="minorEastAsia" w:hAnsiTheme="minorEastAsia" w:eastAsiaTheme="minorEastAsia" w:cstheme="minorEastAsia"/>
          <w:color w:val="auto"/>
          <w:sz w:val="28"/>
          <w:szCs w:val="28"/>
          <w:lang w:val="en-US" w:eastAsia="zh-CN"/>
        </w:rPr>
        <w:t>139.11</w:t>
      </w:r>
      <w:r>
        <w:rPr>
          <w:rFonts w:hint="eastAsia" w:asciiTheme="minorEastAsia" w:hAnsiTheme="minorEastAsia" w:eastAsiaTheme="minorEastAsia" w:cstheme="minorEastAsia"/>
          <w:color w:val="auto"/>
          <w:sz w:val="28"/>
          <w:szCs w:val="28"/>
        </w:rPr>
        <w:t>万元，</w:t>
      </w:r>
      <w:r>
        <w:rPr>
          <w:rFonts w:hint="eastAsia" w:asciiTheme="minorEastAsia" w:hAnsiTheme="minorEastAsia" w:eastAsiaTheme="minorEastAsia" w:cstheme="minorEastAsia"/>
          <w:color w:val="auto"/>
          <w:sz w:val="28"/>
          <w:szCs w:val="28"/>
          <w:lang w:val="en-US" w:eastAsia="zh-CN"/>
        </w:rPr>
        <w:t>相比上年度103.66万元，增加35.45万元，涨幅34.19%</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主要为专项费用增加。支出按以下分类说明：</w:t>
      </w:r>
    </w:p>
    <w:p>
      <w:pPr>
        <w:snapToGrid w:val="0"/>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default" w:asciiTheme="minorEastAsia" w:hAnsiTheme="minorEastAsia" w:eastAsiaTheme="minorEastAsia" w:cstheme="minorEastAsia"/>
          <w:color w:val="auto"/>
          <w:sz w:val="28"/>
          <w:szCs w:val="28"/>
        </w:rPr>
        <w:t>①</w:t>
      </w:r>
      <w:r>
        <w:rPr>
          <w:rFonts w:hint="eastAsia" w:asciiTheme="minorEastAsia" w:hAnsiTheme="minorEastAsia" w:eastAsiaTheme="minorEastAsia" w:cstheme="minorEastAsia"/>
          <w:color w:val="auto"/>
          <w:sz w:val="28"/>
          <w:szCs w:val="28"/>
        </w:rPr>
        <w:t>支出功能分类</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139.11万</w:t>
      </w:r>
      <w:r>
        <w:rPr>
          <w:rFonts w:hint="eastAsia" w:asciiTheme="minorEastAsia" w:hAnsiTheme="minorEastAsia" w:eastAsiaTheme="minorEastAsia" w:cstheme="minorEastAsia"/>
          <w:color w:val="auto"/>
          <w:sz w:val="28"/>
          <w:szCs w:val="28"/>
        </w:rPr>
        <w:t>元</w:t>
      </w:r>
      <w:r>
        <w:rPr>
          <w:rFonts w:hint="eastAsia" w:asciiTheme="minorEastAsia" w:hAnsiTheme="minorEastAsia" w:eastAsiaTheme="minorEastAsia" w:cstheme="minorEastAsia"/>
          <w:color w:val="auto"/>
          <w:sz w:val="28"/>
          <w:szCs w:val="28"/>
          <w:lang w:eastAsia="zh-CN"/>
        </w:rPr>
        <w:t>，其中一般公共服务支出</w:t>
      </w:r>
      <w:r>
        <w:rPr>
          <w:rFonts w:hint="eastAsia" w:asciiTheme="minorEastAsia" w:hAnsiTheme="minorEastAsia" w:eastAsiaTheme="minorEastAsia" w:cstheme="minorEastAsia"/>
          <w:color w:val="auto"/>
          <w:sz w:val="28"/>
          <w:szCs w:val="28"/>
          <w:lang w:val="en-US" w:eastAsia="zh-CN"/>
        </w:rPr>
        <w:t>139.11万</w:t>
      </w:r>
      <w:r>
        <w:rPr>
          <w:rFonts w:hint="eastAsia" w:asciiTheme="minorEastAsia" w:hAnsiTheme="minorEastAsia" w:eastAsiaTheme="minorEastAsia" w:cstheme="minorEastAsia"/>
          <w:color w:val="auto"/>
          <w:sz w:val="28"/>
          <w:szCs w:val="28"/>
        </w:rPr>
        <w:t>元</w:t>
      </w:r>
      <w:r>
        <w:rPr>
          <w:rFonts w:hint="eastAsia" w:asciiTheme="minorEastAsia" w:hAnsiTheme="minorEastAsia" w:eastAsiaTheme="minorEastAsia" w:cstheme="minorEastAsia"/>
          <w:color w:val="auto"/>
          <w:sz w:val="28"/>
          <w:szCs w:val="28"/>
          <w:lang w:eastAsia="zh-CN"/>
        </w:rPr>
        <w:t>；</w:t>
      </w:r>
    </w:p>
    <w:p>
      <w:pPr>
        <w:snapToGrid w:val="0"/>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default" w:asciiTheme="minorEastAsia" w:hAnsiTheme="minorEastAsia" w:eastAsiaTheme="minorEastAsia" w:cstheme="minorEastAsia"/>
          <w:color w:val="auto"/>
          <w:sz w:val="28"/>
          <w:szCs w:val="28"/>
        </w:rPr>
        <w:t>②</w:t>
      </w:r>
      <w:r>
        <w:rPr>
          <w:rFonts w:hint="eastAsia" w:asciiTheme="minorEastAsia" w:hAnsiTheme="minorEastAsia" w:eastAsiaTheme="minorEastAsia" w:cstheme="minorEastAsia"/>
          <w:color w:val="auto"/>
          <w:sz w:val="28"/>
          <w:szCs w:val="28"/>
        </w:rPr>
        <w:t>支出性质分类：</w:t>
      </w:r>
      <w:r>
        <w:rPr>
          <w:rFonts w:hint="eastAsia" w:asciiTheme="minorEastAsia" w:hAnsiTheme="minorEastAsia" w:eastAsiaTheme="minorEastAsia" w:cstheme="minorEastAsia"/>
          <w:color w:val="auto"/>
          <w:sz w:val="28"/>
          <w:szCs w:val="28"/>
          <w:lang w:val="en-US" w:eastAsia="zh-CN"/>
        </w:rPr>
        <w:t>139.11万</w:t>
      </w:r>
      <w:r>
        <w:rPr>
          <w:rFonts w:hint="eastAsia" w:asciiTheme="minorEastAsia" w:hAnsiTheme="minorEastAsia" w:eastAsiaTheme="minorEastAsia" w:cstheme="minorEastAsia"/>
          <w:color w:val="auto"/>
          <w:sz w:val="28"/>
          <w:szCs w:val="28"/>
        </w:rPr>
        <w:t>元，其中人员经费</w:t>
      </w:r>
      <w:r>
        <w:rPr>
          <w:rFonts w:hint="eastAsia" w:asciiTheme="minorEastAsia" w:hAnsiTheme="minorEastAsia" w:eastAsiaTheme="minorEastAsia" w:cstheme="minorEastAsia"/>
          <w:color w:val="auto"/>
          <w:sz w:val="28"/>
          <w:szCs w:val="28"/>
          <w:lang w:val="en-US" w:eastAsia="zh-CN"/>
        </w:rPr>
        <w:t>95.46万</w:t>
      </w:r>
      <w:r>
        <w:rPr>
          <w:rFonts w:hint="eastAsia" w:asciiTheme="minorEastAsia" w:hAnsiTheme="minorEastAsia" w:eastAsiaTheme="minorEastAsia" w:cstheme="minorEastAsia"/>
          <w:color w:val="auto"/>
          <w:sz w:val="28"/>
          <w:szCs w:val="28"/>
        </w:rPr>
        <w:t>元，公用经费</w:t>
      </w:r>
      <w:r>
        <w:rPr>
          <w:rFonts w:hint="eastAsia" w:asciiTheme="minorEastAsia" w:hAnsiTheme="minorEastAsia" w:eastAsiaTheme="minorEastAsia" w:cstheme="minorEastAsia"/>
          <w:color w:val="auto"/>
          <w:sz w:val="28"/>
          <w:szCs w:val="28"/>
          <w:lang w:val="en-US" w:eastAsia="zh-CN"/>
        </w:rPr>
        <w:t>43.65万</w:t>
      </w:r>
      <w:r>
        <w:rPr>
          <w:rFonts w:hint="eastAsia" w:asciiTheme="minorEastAsia" w:hAnsiTheme="minorEastAsia" w:eastAsiaTheme="minorEastAsia" w:cstheme="minorEastAsia"/>
          <w:color w:val="auto"/>
          <w:sz w:val="28"/>
          <w:szCs w:val="28"/>
        </w:rPr>
        <w:t>元</w:t>
      </w:r>
      <w:r>
        <w:rPr>
          <w:rFonts w:hint="eastAsia" w:asciiTheme="minorEastAsia" w:hAnsiTheme="minorEastAsia" w:eastAsiaTheme="minorEastAsia" w:cstheme="minorEastAsia"/>
          <w:color w:val="auto"/>
          <w:sz w:val="28"/>
          <w:szCs w:val="28"/>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auto"/>
          <w:sz w:val="28"/>
          <w:szCs w:val="28"/>
          <w:lang w:val="en-US" w:eastAsia="zh-CN"/>
        </w:rPr>
      </w:pPr>
      <w:r>
        <w:rPr>
          <w:rFonts w:hint="default" w:asciiTheme="minorEastAsia" w:hAnsiTheme="minorEastAsia" w:eastAsiaTheme="minorEastAsia" w:cstheme="minorEastAsia"/>
          <w:color w:val="auto"/>
          <w:sz w:val="28"/>
          <w:szCs w:val="28"/>
        </w:rPr>
        <w:t>③</w:t>
      </w:r>
      <w:r>
        <w:rPr>
          <w:rFonts w:hint="eastAsia" w:asciiTheme="minorEastAsia" w:hAnsiTheme="minorEastAsia" w:eastAsiaTheme="minorEastAsia" w:cstheme="minorEastAsia"/>
          <w:color w:val="auto"/>
          <w:sz w:val="28"/>
          <w:szCs w:val="28"/>
        </w:rPr>
        <w:t>支出经济分类：</w:t>
      </w:r>
      <w:r>
        <w:rPr>
          <w:rFonts w:hint="eastAsia" w:asciiTheme="minorEastAsia" w:hAnsiTheme="minorEastAsia" w:eastAsiaTheme="minorEastAsia" w:cstheme="minorEastAsia"/>
          <w:color w:val="auto"/>
          <w:sz w:val="28"/>
          <w:szCs w:val="28"/>
          <w:lang w:val="en-US" w:eastAsia="zh-CN"/>
        </w:rPr>
        <w:t>139.11万</w:t>
      </w:r>
      <w:r>
        <w:rPr>
          <w:rFonts w:hint="eastAsia" w:asciiTheme="minorEastAsia" w:hAnsiTheme="minorEastAsia" w:eastAsiaTheme="minorEastAsia" w:cstheme="minorEastAsia"/>
          <w:color w:val="auto"/>
          <w:sz w:val="28"/>
          <w:szCs w:val="28"/>
        </w:rPr>
        <w:t>元，其中工资福利支出</w:t>
      </w:r>
      <w:r>
        <w:rPr>
          <w:rFonts w:hint="eastAsia" w:asciiTheme="minorEastAsia" w:hAnsiTheme="minorEastAsia" w:eastAsiaTheme="minorEastAsia" w:cstheme="minorEastAsia"/>
          <w:color w:val="auto"/>
          <w:sz w:val="28"/>
          <w:szCs w:val="28"/>
          <w:lang w:val="en-US" w:eastAsia="zh-CN"/>
        </w:rPr>
        <w:t>95.46万</w:t>
      </w:r>
      <w:r>
        <w:rPr>
          <w:rFonts w:hint="eastAsia" w:asciiTheme="minorEastAsia" w:hAnsiTheme="minorEastAsia" w:eastAsiaTheme="minorEastAsia" w:cstheme="minorEastAsia"/>
          <w:color w:val="auto"/>
          <w:sz w:val="28"/>
          <w:szCs w:val="28"/>
        </w:rPr>
        <w:t>元，商品服务支出</w:t>
      </w:r>
      <w:r>
        <w:rPr>
          <w:rFonts w:hint="eastAsia" w:asciiTheme="minorEastAsia" w:hAnsiTheme="minorEastAsia" w:eastAsiaTheme="minorEastAsia" w:cstheme="minorEastAsia"/>
          <w:color w:val="auto"/>
          <w:sz w:val="28"/>
          <w:szCs w:val="28"/>
          <w:lang w:val="en-US" w:eastAsia="zh-CN"/>
        </w:rPr>
        <w:t>40.77万</w:t>
      </w:r>
      <w:r>
        <w:rPr>
          <w:rFonts w:hint="eastAsia" w:asciiTheme="minorEastAsia" w:hAnsiTheme="minorEastAsia" w:eastAsiaTheme="minorEastAsia" w:cstheme="minorEastAsia"/>
          <w:color w:val="auto"/>
          <w:sz w:val="28"/>
          <w:szCs w:val="28"/>
        </w:rPr>
        <w:t>元</w:t>
      </w:r>
      <w:r>
        <w:rPr>
          <w:rFonts w:hint="eastAsia" w:asciiTheme="minorEastAsia" w:hAnsiTheme="minorEastAsia" w:eastAsiaTheme="minorEastAsia" w:cstheme="minorEastAsia"/>
          <w:color w:val="auto"/>
          <w:sz w:val="28"/>
          <w:szCs w:val="28"/>
          <w:lang w:val="en-US" w:eastAsia="zh-CN"/>
        </w:rPr>
        <w:t>，资本性支出2.88万元。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70" w:firstLineChars="200"/>
        <w:jc w:val="left"/>
        <w:textAlignment w:val="auto"/>
        <w:rPr>
          <w:rFonts w:hint="eastAsia" w:ascii="宋体" w:hAnsi="宋体"/>
          <w:b/>
          <w:bCs/>
          <w:color w:val="auto"/>
          <w:spacing w:val="2"/>
          <w:sz w:val="28"/>
          <w:szCs w:val="28"/>
          <w:highlight w:val="none"/>
        </w:rPr>
      </w:pPr>
      <w:r>
        <w:rPr>
          <w:rFonts w:hint="eastAsia" w:ascii="宋体" w:hAnsi="宋体"/>
          <w:b/>
          <w:bCs/>
          <w:color w:val="auto"/>
          <w:spacing w:val="2"/>
          <w:sz w:val="28"/>
          <w:szCs w:val="28"/>
          <w:highlight w:val="none"/>
          <w:lang w:val="en-US" w:eastAsia="zh-CN"/>
        </w:rPr>
        <w:t>3、</w:t>
      </w:r>
      <w:r>
        <w:rPr>
          <w:rFonts w:hint="eastAsia" w:ascii="宋体" w:hAnsi="宋体"/>
          <w:b/>
          <w:bCs/>
          <w:color w:val="auto"/>
          <w:spacing w:val="2"/>
          <w:sz w:val="28"/>
          <w:szCs w:val="28"/>
          <w:highlight w:val="none"/>
        </w:rPr>
        <w:t>财政拨款支出决算总体情况。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8" w:firstLineChars="200"/>
        <w:jc w:val="left"/>
        <w:textAlignment w:val="auto"/>
        <w:rPr>
          <w:rFonts w:hint="eastAsia" w:ascii="宋体" w:hAnsi="宋体"/>
          <w:color w:val="auto"/>
          <w:spacing w:val="2"/>
          <w:sz w:val="28"/>
          <w:szCs w:val="28"/>
          <w:highlight w:val="none"/>
        </w:rPr>
      </w:pPr>
      <w:r>
        <w:rPr>
          <w:rFonts w:hint="eastAsia" w:ascii="宋体" w:hAnsi="宋体"/>
          <w:color w:val="auto"/>
          <w:spacing w:val="2"/>
          <w:sz w:val="28"/>
          <w:szCs w:val="28"/>
          <w:highlight w:val="none"/>
          <w:lang w:eastAsia="zh-CN"/>
        </w:rPr>
        <w:t>202</w:t>
      </w:r>
      <w:r>
        <w:rPr>
          <w:rFonts w:hint="eastAsia" w:ascii="宋体" w:hAnsi="宋体"/>
          <w:color w:val="auto"/>
          <w:spacing w:val="2"/>
          <w:sz w:val="28"/>
          <w:szCs w:val="28"/>
          <w:highlight w:val="none"/>
          <w:lang w:val="en-US" w:eastAsia="zh-CN"/>
        </w:rPr>
        <w:t>1</w:t>
      </w:r>
      <w:r>
        <w:rPr>
          <w:rFonts w:hint="eastAsia" w:ascii="宋体" w:hAnsi="宋体"/>
          <w:color w:val="auto"/>
          <w:spacing w:val="2"/>
          <w:sz w:val="28"/>
          <w:szCs w:val="28"/>
          <w:highlight w:val="none"/>
        </w:rPr>
        <w:t>年度财政拨款支出</w:t>
      </w:r>
      <w:r>
        <w:rPr>
          <w:rFonts w:hint="eastAsia" w:ascii="宋体" w:hAnsi="宋体"/>
          <w:color w:val="auto"/>
          <w:spacing w:val="2"/>
          <w:sz w:val="28"/>
          <w:szCs w:val="28"/>
          <w:highlight w:val="none"/>
          <w:lang w:val="en-US" w:eastAsia="zh-CN"/>
        </w:rPr>
        <w:t>138.45</w:t>
      </w:r>
      <w:r>
        <w:rPr>
          <w:rFonts w:hint="eastAsia" w:ascii="宋体" w:hAnsi="宋体"/>
          <w:color w:val="auto"/>
          <w:spacing w:val="2"/>
          <w:sz w:val="28"/>
          <w:szCs w:val="28"/>
          <w:highlight w:val="none"/>
        </w:rPr>
        <w:t>万元，占本年支出合计的</w:t>
      </w:r>
      <w:r>
        <w:rPr>
          <w:rFonts w:hint="eastAsia" w:ascii="宋体" w:hAnsi="宋体"/>
          <w:color w:val="auto"/>
          <w:spacing w:val="2"/>
          <w:sz w:val="28"/>
          <w:szCs w:val="28"/>
          <w:highlight w:val="none"/>
          <w:lang w:val="en-US" w:eastAsia="zh-CN"/>
        </w:rPr>
        <w:t>99.53</w:t>
      </w:r>
      <w:r>
        <w:rPr>
          <w:rFonts w:hint="eastAsia" w:ascii="宋体" w:hAnsi="宋体"/>
          <w:color w:val="auto"/>
          <w:spacing w:val="2"/>
          <w:sz w:val="28"/>
          <w:szCs w:val="28"/>
          <w:highlight w:val="none"/>
        </w:rPr>
        <w:t>%。与</w:t>
      </w:r>
      <w:r>
        <w:rPr>
          <w:rFonts w:hint="eastAsia" w:ascii="宋体" w:hAnsi="宋体"/>
          <w:color w:val="auto"/>
          <w:spacing w:val="2"/>
          <w:sz w:val="28"/>
          <w:szCs w:val="28"/>
          <w:highlight w:val="none"/>
          <w:lang w:eastAsia="zh-CN"/>
        </w:rPr>
        <w:t>202</w:t>
      </w:r>
      <w:r>
        <w:rPr>
          <w:rFonts w:hint="eastAsia" w:ascii="宋体" w:hAnsi="宋体"/>
          <w:color w:val="auto"/>
          <w:spacing w:val="2"/>
          <w:sz w:val="28"/>
          <w:szCs w:val="28"/>
          <w:highlight w:val="none"/>
          <w:lang w:val="en-US" w:eastAsia="zh-CN"/>
        </w:rPr>
        <w:t>0</w:t>
      </w:r>
      <w:r>
        <w:rPr>
          <w:rFonts w:hint="eastAsia" w:ascii="宋体" w:hAnsi="宋体"/>
          <w:color w:val="auto"/>
          <w:spacing w:val="2"/>
          <w:sz w:val="28"/>
          <w:szCs w:val="28"/>
          <w:highlight w:val="none"/>
        </w:rPr>
        <w:t>年</w:t>
      </w:r>
      <w:r>
        <w:rPr>
          <w:rFonts w:hint="eastAsia" w:ascii="宋体" w:hAnsi="宋体"/>
          <w:color w:val="auto"/>
          <w:spacing w:val="2"/>
          <w:sz w:val="28"/>
          <w:szCs w:val="28"/>
          <w:highlight w:val="none"/>
          <w:lang w:eastAsia="zh-CN"/>
        </w:rPr>
        <w:t>度</w:t>
      </w:r>
      <w:r>
        <w:rPr>
          <w:rFonts w:hint="eastAsia" w:ascii="宋体" w:hAnsi="宋体"/>
          <w:color w:val="auto"/>
          <w:spacing w:val="2"/>
          <w:sz w:val="28"/>
          <w:szCs w:val="28"/>
          <w:highlight w:val="none"/>
        </w:rPr>
        <w:t>相比，财政拨款支出增加</w:t>
      </w:r>
      <w:r>
        <w:rPr>
          <w:rFonts w:hint="eastAsia" w:ascii="宋体" w:hAnsi="宋体"/>
          <w:color w:val="auto"/>
          <w:spacing w:val="2"/>
          <w:sz w:val="28"/>
          <w:szCs w:val="28"/>
          <w:highlight w:val="none"/>
          <w:lang w:val="en-US" w:eastAsia="zh-CN"/>
        </w:rPr>
        <w:t>35.45</w:t>
      </w:r>
      <w:r>
        <w:rPr>
          <w:rFonts w:hint="eastAsia" w:ascii="宋体" w:hAnsi="宋体"/>
          <w:color w:val="auto"/>
          <w:spacing w:val="2"/>
          <w:sz w:val="28"/>
          <w:szCs w:val="28"/>
          <w:highlight w:val="none"/>
        </w:rPr>
        <w:t>万元，增长</w:t>
      </w:r>
      <w:r>
        <w:rPr>
          <w:rFonts w:hint="eastAsia" w:ascii="宋体" w:hAnsi="宋体"/>
          <w:color w:val="auto"/>
          <w:spacing w:val="2"/>
          <w:sz w:val="28"/>
          <w:szCs w:val="28"/>
          <w:highlight w:val="none"/>
          <w:lang w:val="en-US" w:eastAsia="zh-CN"/>
        </w:rPr>
        <w:t>34.19</w:t>
      </w:r>
      <w:r>
        <w:rPr>
          <w:rFonts w:hint="eastAsia" w:ascii="宋体" w:hAnsi="宋体"/>
          <w:color w:val="auto"/>
          <w:spacing w:val="2"/>
          <w:sz w:val="28"/>
          <w:szCs w:val="28"/>
          <w:highlight w:val="none"/>
        </w:rPr>
        <w:t>%。主要原因是</w:t>
      </w:r>
      <w:r>
        <w:rPr>
          <w:rFonts w:hint="eastAsia" w:ascii="宋体" w:hAnsi="宋体"/>
          <w:color w:val="auto"/>
          <w:spacing w:val="2"/>
          <w:sz w:val="28"/>
          <w:szCs w:val="28"/>
          <w:highlight w:val="none"/>
          <w:lang w:val="en-US" w:eastAsia="zh-CN"/>
        </w:rPr>
        <w:t>一体化系统上线支付建设费及侨联、党派费用增加</w:t>
      </w:r>
      <w:r>
        <w:rPr>
          <w:rFonts w:hint="eastAsia" w:ascii="宋体" w:hAnsi="宋体"/>
          <w:color w:val="auto"/>
          <w:spacing w:val="2"/>
          <w:sz w:val="28"/>
          <w:szCs w:val="28"/>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8" w:firstLineChars="200"/>
        <w:jc w:val="left"/>
        <w:textAlignment w:val="auto"/>
        <w:rPr>
          <w:rFonts w:hint="eastAsia" w:ascii="宋体" w:hAnsi="宋体"/>
          <w:color w:val="auto"/>
          <w:spacing w:val="2"/>
          <w:sz w:val="28"/>
          <w:szCs w:val="28"/>
          <w:highlight w:val="none"/>
        </w:rPr>
      </w:pPr>
      <w:r>
        <w:rPr>
          <w:rFonts w:hint="eastAsia" w:ascii="宋体" w:hAnsi="宋体"/>
          <w:color w:val="auto"/>
          <w:spacing w:val="2"/>
          <w:sz w:val="28"/>
          <w:szCs w:val="28"/>
          <w:highlight w:val="none"/>
          <w:lang w:eastAsia="zh-CN"/>
        </w:rPr>
        <w:t>（</w:t>
      </w:r>
      <w:r>
        <w:rPr>
          <w:rFonts w:hint="eastAsia" w:ascii="宋体" w:hAnsi="宋体"/>
          <w:color w:val="auto"/>
          <w:spacing w:val="2"/>
          <w:sz w:val="28"/>
          <w:szCs w:val="28"/>
          <w:highlight w:val="none"/>
          <w:lang w:val="en-US" w:eastAsia="zh-CN"/>
        </w:rPr>
        <w:t>1</w:t>
      </w:r>
      <w:r>
        <w:rPr>
          <w:rFonts w:hint="eastAsia" w:ascii="宋体" w:hAnsi="宋体"/>
          <w:color w:val="auto"/>
          <w:spacing w:val="2"/>
          <w:sz w:val="28"/>
          <w:szCs w:val="28"/>
          <w:highlight w:val="none"/>
          <w:lang w:eastAsia="zh-CN"/>
        </w:rPr>
        <w:t>）</w:t>
      </w:r>
      <w:r>
        <w:rPr>
          <w:rFonts w:hint="eastAsia" w:ascii="宋体" w:hAnsi="宋体"/>
          <w:color w:val="auto"/>
          <w:spacing w:val="2"/>
          <w:sz w:val="28"/>
          <w:szCs w:val="28"/>
          <w:highlight w:val="none"/>
        </w:rPr>
        <w:t>财政拨款支出决算结构情况。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8" w:firstLineChars="200"/>
        <w:jc w:val="left"/>
        <w:textAlignment w:val="auto"/>
        <w:rPr>
          <w:rFonts w:hint="eastAsia" w:ascii="宋体" w:hAnsi="宋体" w:eastAsiaTheme="minorEastAsia"/>
          <w:color w:val="auto"/>
          <w:spacing w:val="2"/>
          <w:sz w:val="28"/>
          <w:szCs w:val="28"/>
          <w:highlight w:val="none"/>
          <w:lang w:val="en-US" w:eastAsia="zh-CN"/>
        </w:rPr>
      </w:pPr>
      <w:r>
        <w:rPr>
          <w:rFonts w:hint="eastAsia" w:ascii="宋体" w:hAnsi="宋体"/>
          <w:color w:val="auto"/>
          <w:spacing w:val="2"/>
          <w:sz w:val="28"/>
          <w:szCs w:val="28"/>
          <w:highlight w:val="none"/>
          <w:lang w:eastAsia="zh-CN"/>
        </w:rPr>
        <w:t>202</w:t>
      </w:r>
      <w:r>
        <w:rPr>
          <w:rFonts w:hint="eastAsia" w:ascii="宋体" w:hAnsi="宋体"/>
          <w:color w:val="auto"/>
          <w:spacing w:val="2"/>
          <w:sz w:val="28"/>
          <w:szCs w:val="28"/>
          <w:highlight w:val="none"/>
          <w:lang w:val="en-US" w:eastAsia="zh-CN"/>
        </w:rPr>
        <w:t>1</w:t>
      </w:r>
      <w:r>
        <w:rPr>
          <w:rFonts w:hint="eastAsia" w:ascii="宋体" w:hAnsi="宋体"/>
          <w:color w:val="auto"/>
          <w:spacing w:val="2"/>
          <w:sz w:val="28"/>
          <w:szCs w:val="28"/>
          <w:highlight w:val="none"/>
        </w:rPr>
        <w:t>年度财政拨款支出</w:t>
      </w:r>
      <w:r>
        <w:rPr>
          <w:rFonts w:hint="eastAsia" w:ascii="宋体" w:hAnsi="宋体"/>
          <w:color w:val="auto"/>
          <w:spacing w:val="2"/>
          <w:sz w:val="28"/>
          <w:szCs w:val="28"/>
          <w:highlight w:val="none"/>
          <w:lang w:val="en-US" w:eastAsia="zh-CN"/>
        </w:rPr>
        <w:t>138.45</w:t>
      </w:r>
      <w:r>
        <w:rPr>
          <w:rFonts w:hint="eastAsia" w:ascii="宋体" w:hAnsi="宋体"/>
          <w:color w:val="auto"/>
          <w:spacing w:val="2"/>
          <w:sz w:val="28"/>
          <w:szCs w:val="28"/>
          <w:highlight w:val="none"/>
        </w:rPr>
        <w:t>万元，按支出性质分类：基本支出</w:t>
      </w:r>
      <w:r>
        <w:rPr>
          <w:rFonts w:hint="eastAsia" w:ascii="宋体" w:hAnsi="宋体"/>
          <w:color w:val="auto"/>
          <w:spacing w:val="2"/>
          <w:sz w:val="28"/>
          <w:szCs w:val="28"/>
          <w:highlight w:val="none"/>
          <w:lang w:val="en-US" w:eastAsia="zh-CN"/>
        </w:rPr>
        <w:t>138.45</w:t>
      </w:r>
      <w:r>
        <w:rPr>
          <w:rFonts w:hint="eastAsia" w:ascii="宋体" w:hAnsi="宋体"/>
          <w:color w:val="auto"/>
          <w:spacing w:val="2"/>
          <w:sz w:val="28"/>
          <w:szCs w:val="28"/>
          <w:highlight w:val="none"/>
        </w:rPr>
        <w:t>万元</w:t>
      </w:r>
      <w:r>
        <w:rPr>
          <w:rFonts w:hint="eastAsia" w:ascii="宋体" w:hAnsi="宋体"/>
          <w:color w:val="auto"/>
          <w:spacing w:val="2"/>
          <w:sz w:val="28"/>
          <w:szCs w:val="28"/>
          <w:highlight w:val="none"/>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8" w:firstLineChars="200"/>
        <w:jc w:val="left"/>
        <w:textAlignment w:val="auto"/>
        <w:rPr>
          <w:rFonts w:hint="eastAsia" w:ascii="宋体" w:hAnsi="宋体"/>
          <w:color w:val="auto"/>
          <w:spacing w:val="2"/>
          <w:sz w:val="28"/>
          <w:szCs w:val="28"/>
          <w:highlight w:val="none"/>
        </w:rPr>
      </w:pPr>
      <w:r>
        <w:rPr>
          <w:rFonts w:hint="eastAsia" w:ascii="宋体" w:hAnsi="宋体"/>
          <w:color w:val="auto"/>
          <w:spacing w:val="2"/>
          <w:sz w:val="28"/>
          <w:szCs w:val="28"/>
          <w:highlight w:val="none"/>
        </w:rPr>
        <w:t>（</w:t>
      </w:r>
      <w:r>
        <w:rPr>
          <w:rFonts w:hint="eastAsia" w:ascii="宋体" w:hAnsi="宋体"/>
          <w:color w:val="auto"/>
          <w:spacing w:val="2"/>
          <w:sz w:val="28"/>
          <w:szCs w:val="28"/>
          <w:highlight w:val="none"/>
          <w:lang w:val="en-US" w:eastAsia="zh-CN"/>
        </w:rPr>
        <w:t>2</w:t>
      </w:r>
      <w:r>
        <w:rPr>
          <w:rFonts w:hint="eastAsia" w:ascii="宋体" w:hAnsi="宋体"/>
          <w:color w:val="auto"/>
          <w:spacing w:val="2"/>
          <w:sz w:val="28"/>
          <w:szCs w:val="28"/>
          <w:highlight w:val="none"/>
        </w:rPr>
        <w:t>）财政拨款支出决算具体情况。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8" w:firstLineChars="200"/>
        <w:jc w:val="left"/>
        <w:textAlignment w:val="auto"/>
        <w:rPr>
          <w:rFonts w:hint="eastAsia" w:ascii="宋体" w:hAnsi="宋体"/>
          <w:color w:val="auto"/>
          <w:spacing w:val="2"/>
          <w:sz w:val="28"/>
          <w:szCs w:val="28"/>
          <w:highlight w:val="none"/>
          <w:lang w:val="en-US" w:eastAsia="zh-CN"/>
        </w:rPr>
      </w:pPr>
      <w:r>
        <w:rPr>
          <w:rFonts w:hint="eastAsia" w:ascii="宋体" w:hAnsi="宋体"/>
          <w:color w:val="auto"/>
          <w:spacing w:val="2"/>
          <w:sz w:val="28"/>
          <w:szCs w:val="28"/>
          <w:highlight w:val="none"/>
          <w:lang w:eastAsia="zh-CN"/>
        </w:rPr>
        <w:t>202</w:t>
      </w:r>
      <w:r>
        <w:rPr>
          <w:rFonts w:hint="eastAsia" w:ascii="宋体" w:hAnsi="宋体"/>
          <w:color w:val="auto"/>
          <w:spacing w:val="2"/>
          <w:sz w:val="28"/>
          <w:szCs w:val="28"/>
          <w:highlight w:val="none"/>
          <w:lang w:val="en-US" w:eastAsia="zh-CN"/>
        </w:rPr>
        <w:t>1</w:t>
      </w:r>
      <w:r>
        <w:rPr>
          <w:rFonts w:hint="eastAsia" w:ascii="宋体" w:hAnsi="宋体"/>
          <w:color w:val="auto"/>
          <w:spacing w:val="2"/>
          <w:sz w:val="28"/>
          <w:szCs w:val="28"/>
          <w:highlight w:val="none"/>
        </w:rPr>
        <w:t>年</w:t>
      </w:r>
      <w:r>
        <w:rPr>
          <w:rFonts w:hint="eastAsia" w:ascii="宋体" w:hAnsi="宋体"/>
          <w:color w:val="auto"/>
          <w:spacing w:val="2"/>
          <w:sz w:val="28"/>
          <w:szCs w:val="28"/>
          <w:highlight w:val="none"/>
          <w:lang w:eastAsia="zh-CN"/>
        </w:rPr>
        <w:t>度</w:t>
      </w:r>
      <w:r>
        <w:rPr>
          <w:rFonts w:hint="eastAsia" w:ascii="宋体" w:hAnsi="宋体"/>
          <w:color w:val="auto"/>
          <w:spacing w:val="2"/>
          <w:sz w:val="28"/>
          <w:szCs w:val="28"/>
          <w:highlight w:val="none"/>
        </w:rPr>
        <w:t>一般公共预算财政拨款支出年</w:t>
      </w:r>
      <w:r>
        <w:rPr>
          <w:rFonts w:hint="eastAsia" w:ascii="宋体" w:hAnsi="宋体"/>
          <w:color w:val="auto"/>
          <w:spacing w:val="2"/>
          <w:sz w:val="28"/>
          <w:szCs w:val="28"/>
          <w:highlight w:val="none"/>
          <w:lang w:eastAsia="zh-CN"/>
        </w:rPr>
        <w:t>初</w:t>
      </w:r>
      <w:r>
        <w:rPr>
          <w:rFonts w:hint="eastAsia" w:ascii="宋体" w:hAnsi="宋体"/>
          <w:color w:val="auto"/>
          <w:spacing w:val="2"/>
          <w:sz w:val="28"/>
          <w:szCs w:val="28"/>
          <w:highlight w:val="none"/>
        </w:rPr>
        <w:t>预算为</w:t>
      </w:r>
      <w:r>
        <w:rPr>
          <w:rFonts w:hint="eastAsia" w:ascii="宋体" w:hAnsi="宋体"/>
          <w:color w:val="auto"/>
          <w:spacing w:val="2"/>
          <w:sz w:val="28"/>
          <w:szCs w:val="28"/>
          <w:highlight w:val="none"/>
          <w:lang w:val="en-US" w:eastAsia="zh-CN"/>
        </w:rPr>
        <w:t>109.48</w:t>
      </w:r>
      <w:r>
        <w:rPr>
          <w:rFonts w:hint="eastAsia" w:ascii="宋体" w:hAnsi="宋体"/>
          <w:color w:val="auto"/>
          <w:spacing w:val="2"/>
          <w:sz w:val="28"/>
          <w:szCs w:val="28"/>
          <w:highlight w:val="none"/>
        </w:rPr>
        <w:t>万元，支出决算为</w:t>
      </w:r>
      <w:r>
        <w:rPr>
          <w:rFonts w:hint="eastAsia" w:ascii="宋体" w:hAnsi="宋体"/>
          <w:color w:val="auto"/>
          <w:spacing w:val="2"/>
          <w:sz w:val="28"/>
          <w:szCs w:val="28"/>
          <w:highlight w:val="none"/>
          <w:lang w:val="en-US" w:eastAsia="zh-CN"/>
        </w:rPr>
        <w:t>138.45</w:t>
      </w:r>
      <w:r>
        <w:rPr>
          <w:rFonts w:hint="eastAsia" w:ascii="宋体" w:hAnsi="宋体"/>
          <w:color w:val="auto"/>
          <w:spacing w:val="2"/>
          <w:sz w:val="28"/>
          <w:szCs w:val="28"/>
          <w:highlight w:val="none"/>
        </w:rPr>
        <w:t>万元，</w:t>
      </w:r>
      <w:r>
        <w:rPr>
          <w:rFonts w:hint="eastAsia" w:ascii="宋体" w:hAnsi="宋体"/>
          <w:color w:val="auto"/>
          <w:spacing w:val="2"/>
          <w:sz w:val="28"/>
          <w:szCs w:val="28"/>
          <w:highlight w:val="none"/>
          <w:lang w:val="en-US" w:eastAsia="zh-CN"/>
        </w:rPr>
        <w:t>超出</w:t>
      </w:r>
      <w:r>
        <w:rPr>
          <w:rFonts w:hint="eastAsia" w:ascii="宋体" w:hAnsi="宋体"/>
          <w:color w:val="auto"/>
          <w:spacing w:val="2"/>
          <w:sz w:val="28"/>
          <w:szCs w:val="28"/>
          <w:highlight w:val="none"/>
        </w:rPr>
        <w:t>年</w:t>
      </w:r>
      <w:r>
        <w:rPr>
          <w:rFonts w:hint="eastAsia" w:ascii="宋体" w:hAnsi="宋体"/>
          <w:color w:val="auto"/>
          <w:spacing w:val="2"/>
          <w:sz w:val="28"/>
          <w:szCs w:val="28"/>
          <w:highlight w:val="none"/>
          <w:lang w:eastAsia="zh-CN"/>
        </w:rPr>
        <w:t>初</w:t>
      </w:r>
      <w:r>
        <w:rPr>
          <w:rFonts w:hint="eastAsia" w:ascii="宋体" w:hAnsi="宋体"/>
          <w:color w:val="auto"/>
          <w:spacing w:val="2"/>
          <w:sz w:val="28"/>
          <w:szCs w:val="28"/>
          <w:highlight w:val="none"/>
        </w:rPr>
        <w:t>预算</w:t>
      </w:r>
      <w:r>
        <w:rPr>
          <w:rFonts w:hint="eastAsia" w:ascii="宋体" w:hAnsi="宋体"/>
          <w:color w:val="auto"/>
          <w:spacing w:val="2"/>
          <w:sz w:val="28"/>
          <w:szCs w:val="28"/>
          <w:highlight w:val="none"/>
          <w:lang w:val="en-US" w:eastAsia="zh-CN"/>
        </w:rPr>
        <w:t>28.97万元，超出比例26.46</w:t>
      </w:r>
      <w:r>
        <w:rPr>
          <w:rFonts w:hint="eastAsia" w:ascii="宋体" w:hAnsi="宋体"/>
          <w:color w:val="auto"/>
          <w:spacing w:val="2"/>
          <w:sz w:val="28"/>
          <w:szCs w:val="28"/>
          <w:highlight w:val="none"/>
        </w:rPr>
        <w:t>%</w:t>
      </w:r>
      <w:r>
        <w:rPr>
          <w:rFonts w:hint="eastAsia" w:ascii="宋体" w:hAnsi="宋体"/>
          <w:color w:val="auto"/>
          <w:spacing w:val="2"/>
          <w:sz w:val="28"/>
          <w:szCs w:val="28"/>
          <w:highlight w:val="none"/>
          <w:lang w:eastAsia="zh-CN"/>
        </w:rPr>
        <w:t>，</w:t>
      </w:r>
      <w:r>
        <w:rPr>
          <w:rFonts w:hint="eastAsia" w:ascii="宋体" w:hAnsi="宋体"/>
          <w:color w:val="auto"/>
          <w:spacing w:val="2"/>
          <w:sz w:val="28"/>
          <w:szCs w:val="28"/>
          <w:highlight w:val="none"/>
          <w:lang w:val="en-US" w:eastAsia="zh-CN"/>
        </w:rPr>
        <w:t>主要是人员经费和公用经费均有所增加。</w:t>
      </w:r>
      <w:r>
        <w:rPr>
          <w:rFonts w:hint="eastAsia" w:ascii="宋体" w:hAnsi="宋体"/>
          <w:color w:val="auto"/>
          <w:spacing w:val="2"/>
          <w:sz w:val="28"/>
          <w:szCs w:val="28"/>
          <w:highlight w:val="none"/>
        </w:rPr>
        <w:t>其中：1.一般公共服务支出(类)。年</w:t>
      </w:r>
      <w:r>
        <w:rPr>
          <w:rFonts w:hint="eastAsia" w:ascii="宋体" w:hAnsi="宋体"/>
          <w:color w:val="auto"/>
          <w:spacing w:val="2"/>
          <w:sz w:val="28"/>
          <w:szCs w:val="28"/>
          <w:highlight w:val="none"/>
          <w:lang w:eastAsia="zh-CN"/>
        </w:rPr>
        <w:t>初</w:t>
      </w:r>
      <w:r>
        <w:rPr>
          <w:rFonts w:hint="eastAsia" w:ascii="宋体" w:hAnsi="宋体"/>
          <w:color w:val="auto"/>
          <w:spacing w:val="2"/>
          <w:sz w:val="28"/>
          <w:szCs w:val="28"/>
          <w:highlight w:val="none"/>
        </w:rPr>
        <w:t>预算为</w:t>
      </w:r>
      <w:r>
        <w:rPr>
          <w:rFonts w:hint="eastAsia" w:ascii="宋体" w:hAnsi="宋体"/>
          <w:color w:val="auto"/>
          <w:spacing w:val="2"/>
          <w:sz w:val="28"/>
          <w:szCs w:val="28"/>
          <w:highlight w:val="none"/>
          <w:lang w:val="en-US" w:eastAsia="zh-CN"/>
        </w:rPr>
        <w:t>109.48</w:t>
      </w:r>
      <w:r>
        <w:rPr>
          <w:rFonts w:hint="eastAsia" w:ascii="宋体" w:hAnsi="宋体"/>
          <w:color w:val="auto"/>
          <w:spacing w:val="2"/>
          <w:sz w:val="28"/>
          <w:szCs w:val="28"/>
          <w:highlight w:val="none"/>
        </w:rPr>
        <w:t>万元，支出决算为</w:t>
      </w:r>
      <w:r>
        <w:rPr>
          <w:rFonts w:hint="eastAsia" w:ascii="宋体" w:hAnsi="宋体"/>
          <w:color w:val="auto"/>
          <w:spacing w:val="2"/>
          <w:sz w:val="28"/>
          <w:szCs w:val="28"/>
          <w:highlight w:val="none"/>
          <w:lang w:val="en-US" w:eastAsia="zh-CN"/>
        </w:rPr>
        <w:t>138.45</w:t>
      </w:r>
      <w:r>
        <w:rPr>
          <w:rFonts w:hint="eastAsia" w:ascii="宋体" w:hAnsi="宋体"/>
          <w:color w:val="auto"/>
          <w:spacing w:val="2"/>
          <w:sz w:val="28"/>
          <w:szCs w:val="28"/>
          <w:highlight w:val="none"/>
        </w:rPr>
        <w:t>万元，</w:t>
      </w:r>
      <w:r>
        <w:rPr>
          <w:rFonts w:hint="eastAsia" w:ascii="宋体" w:hAnsi="宋体"/>
          <w:color w:val="auto"/>
          <w:spacing w:val="2"/>
          <w:sz w:val="28"/>
          <w:szCs w:val="28"/>
          <w:highlight w:val="none"/>
          <w:lang w:val="en-US" w:eastAsia="zh-CN"/>
        </w:rPr>
        <w:t>超出</w:t>
      </w:r>
      <w:r>
        <w:rPr>
          <w:rFonts w:hint="eastAsia" w:ascii="宋体" w:hAnsi="宋体"/>
          <w:color w:val="auto"/>
          <w:spacing w:val="2"/>
          <w:sz w:val="28"/>
          <w:szCs w:val="28"/>
          <w:highlight w:val="none"/>
        </w:rPr>
        <w:t>年</w:t>
      </w:r>
      <w:r>
        <w:rPr>
          <w:rFonts w:hint="eastAsia" w:ascii="宋体" w:hAnsi="宋体"/>
          <w:color w:val="auto"/>
          <w:spacing w:val="2"/>
          <w:sz w:val="28"/>
          <w:szCs w:val="28"/>
          <w:highlight w:val="none"/>
          <w:lang w:eastAsia="zh-CN"/>
        </w:rPr>
        <w:t>初</w:t>
      </w:r>
      <w:r>
        <w:rPr>
          <w:rFonts w:hint="eastAsia" w:ascii="宋体" w:hAnsi="宋体"/>
          <w:color w:val="auto"/>
          <w:spacing w:val="2"/>
          <w:sz w:val="28"/>
          <w:szCs w:val="28"/>
          <w:highlight w:val="none"/>
        </w:rPr>
        <w:t>预算的</w:t>
      </w:r>
      <w:r>
        <w:rPr>
          <w:rFonts w:hint="eastAsia" w:ascii="宋体" w:hAnsi="宋体"/>
          <w:color w:val="auto"/>
          <w:spacing w:val="2"/>
          <w:sz w:val="28"/>
          <w:szCs w:val="28"/>
          <w:highlight w:val="none"/>
          <w:lang w:val="en-US" w:eastAsia="zh-CN"/>
        </w:rPr>
        <w:t>26.46</w:t>
      </w:r>
      <w:r>
        <w:rPr>
          <w:rFonts w:hint="eastAsia" w:ascii="宋体" w:hAnsi="宋体"/>
          <w:color w:val="auto"/>
          <w:spacing w:val="2"/>
          <w:sz w:val="28"/>
          <w:szCs w:val="28"/>
          <w:highlight w:val="none"/>
        </w:rPr>
        <w:t>%，支出决算数</w:t>
      </w:r>
      <w:r>
        <w:rPr>
          <w:rFonts w:hint="eastAsia" w:ascii="宋体" w:hAnsi="宋体"/>
          <w:color w:val="auto"/>
          <w:spacing w:val="2"/>
          <w:sz w:val="28"/>
          <w:szCs w:val="28"/>
          <w:highlight w:val="none"/>
          <w:lang w:eastAsia="zh-CN"/>
        </w:rPr>
        <w:t>大</w:t>
      </w:r>
      <w:r>
        <w:rPr>
          <w:rFonts w:hint="eastAsia" w:ascii="宋体" w:hAnsi="宋体"/>
          <w:color w:val="auto"/>
          <w:spacing w:val="2"/>
          <w:sz w:val="28"/>
          <w:szCs w:val="28"/>
          <w:highlight w:val="none"/>
        </w:rPr>
        <w:t>于年</w:t>
      </w:r>
      <w:r>
        <w:rPr>
          <w:rFonts w:hint="eastAsia" w:ascii="宋体" w:hAnsi="宋体"/>
          <w:color w:val="auto"/>
          <w:spacing w:val="2"/>
          <w:sz w:val="28"/>
          <w:szCs w:val="28"/>
          <w:highlight w:val="none"/>
          <w:lang w:eastAsia="zh-CN"/>
        </w:rPr>
        <w:t>初</w:t>
      </w:r>
      <w:r>
        <w:rPr>
          <w:rFonts w:hint="eastAsia" w:ascii="宋体" w:hAnsi="宋体"/>
          <w:color w:val="auto"/>
          <w:spacing w:val="2"/>
          <w:sz w:val="28"/>
          <w:szCs w:val="28"/>
          <w:highlight w:val="none"/>
        </w:rPr>
        <w:t>预算数)的主要原因</w:t>
      </w:r>
      <w:r>
        <w:rPr>
          <w:rFonts w:hint="eastAsia" w:ascii="宋体" w:hAnsi="宋体"/>
          <w:color w:val="auto"/>
          <w:spacing w:val="2"/>
          <w:sz w:val="28"/>
          <w:szCs w:val="28"/>
          <w:highlight w:val="none"/>
          <w:lang w:eastAsia="zh-CN"/>
        </w:rPr>
        <w:t>：</w:t>
      </w:r>
      <w:r>
        <w:rPr>
          <w:rFonts w:hint="eastAsia" w:ascii="宋体" w:hAnsi="宋体"/>
          <w:color w:val="auto"/>
          <w:spacing w:val="2"/>
          <w:sz w:val="28"/>
          <w:szCs w:val="28"/>
          <w:highlight w:val="none"/>
        </w:rPr>
        <w:t>一是</w:t>
      </w:r>
      <w:r>
        <w:rPr>
          <w:rFonts w:hint="eastAsia" w:ascii="宋体" w:hAnsi="宋体"/>
          <w:color w:val="auto"/>
          <w:spacing w:val="2"/>
          <w:sz w:val="28"/>
          <w:szCs w:val="28"/>
          <w:highlight w:val="none"/>
          <w:lang w:val="en-US" w:eastAsia="zh-CN"/>
        </w:rPr>
        <w:t>人员经费增加</w:t>
      </w:r>
      <w:r>
        <w:rPr>
          <w:rFonts w:hint="eastAsia" w:ascii="宋体" w:hAnsi="宋体"/>
          <w:color w:val="auto"/>
          <w:spacing w:val="2"/>
          <w:sz w:val="28"/>
          <w:szCs w:val="28"/>
          <w:highlight w:val="none"/>
        </w:rPr>
        <w:t>；二是</w:t>
      </w:r>
      <w:r>
        <w:rPr>
          <w:rFonts w:hint="eastAsia" w:ascii="宋体" w:hAnsi="宋体"/>
          <w:color w:val="auto"/>
          <w:spacing w:val="2"/>
          <w:sz w:val="28"/>
          <w:szCs w:val="28"/>
          <w:highlight w:val="none"/>
          <w:lang w:val="en-US" w:eastAsia="zh-CN"/>
        </w:rPr>
        <w:t>公用经费增加一体化系统上线支付建设费</w:t>
      </w:r>
      <w:r>
        <w:rPr>
          <w:rFonts w:hint="eastAsia" w:ascii="宋体" w:hAnsi="宋体"/>
          <w:color w:val="auto"/>
          <w:spacing w:val="2"/>
          <w:sz w:val="28"/>
          <w:szCs w:val="28"/>
          <w:highlight w:val="no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default" w:asciiTheme="minorEastAsia" w:hAnsiTheme="minorEastAsia" w:eastAsiaTheme="minorEastAsia" w:cstheme="minorEastAsia"/>
          <w:color w:val="auto"/>
          <w:sz w:val="28"/>
          <w:szCs w:val="2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b/>
          <w:bCs/>
          <w:i w:val="0"/>
          <w:caps w:val="0"/>
          <w:color w:val="auto"/>
          <w:spacing w:val="0"/>
          <w:sz w:val="28"/>
          <w:szCs w:val="28"/>
          <w:shd w:val="clear" w:fill="FFFFFF"/>
          <w:lang w:val="en-US" w:eastAsia="zh-CN"/>
        </w:rPr>
      </w:pPr>
      <w:r>
        <w:rPr>
          <w:rFonts w:hint="eastAsia" w:asciiTheme="minorEastAsia" w:hAnsiTheme="minorEastAsia" w:eastAsiaTheme="minorEastAsia" w:cstheme="minorEastAsia"/>
          <w:b/>
          <w:bCs/>
          <w:i w:val="0"/>
          <w:caps w:val="0"/>
          <w:color w:val="auto"/>
          <w:spacing w:val="0"/>
          <w:sz w:val="28"/>
          <w:szCs w:val="28"/>
          <w:shd w:val="clear" w:fill="FFFFFF"/>
          <w:lang w:val="en-US" w:eastAsia="zh-CN"/>
        </w:rPr>
        <w:t>（二）关于“三公”经费支出说明</w:t>
      </w:r>
    </w:p>
    <w:p>
      <w:pPr>
        <w:pStyle w:val="10"/>
        <w:widowControl/>
        <w:shd w:val="clear" w:color="auto" w:fill="FFFFFF"/>
        <w:ind w:firstLine="560"/>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2021年“三公”经费</w:t>
      </w:r>
      <w:r>
        <w:rPr>
          <w:rFonts w:hint="eastAsia" w:asciiTheme="minorEastAsia" w:hAnsiTheme="minorEastAsia" w:cstheme="minorEastAsia"/>
          <w:color w:val="auto"/>
          <w:sz w:val="28"/>
          <w:szCs w:val="28"/>
          <w:lang w:val="en-US" w:eastAsia="zh-CN"/>
        </w:rPr>
        <w:t>预算数4000元，</w:t>
      </w:r>
      <w:r>
        <w:rPr>
          <w:rFonts w:hint="eastAsia" w:asciiTheme="minorEastAsia" w:hAnsiTheme="minorEastAsia" w:cstheme="minorEastAsia"/>
          <w:color w:val="auto"/>
          <w:sz w:val="28"/>
          <w:szCs w:val="28"/>
        </w:rPr>
        <w:t>决算总支出</w:t>
      </w:r>
      <w:r>
        <w:rPr>
          <w:rFonts w:hint="eastAsia" w:asciiTheme="minorEastAsia" w:hAnsiTheme="minorEastAsia" w:cstheme="minorEastAsia"/>
          <w:color w:val="auto"/>
          <w:sz w:val="28"/>
          <w:szCs w:val="28"/>
          <w:lang w:val="en-US" w:eastAsia="zh-CN"/>
        </w:rPr>
        <w:t>1200</w:t>
      </w:r>
      <w:r>
        <w:rPr>
          <w:rFonts w:hint="eastAsia" w:asciiTheme="minorEastAsia" w:hAnsiTheme="minorEastAsia" w:cstheme="minorEastAsia"/>
          <w:color w:val="auto"/>
          <w:sz w:val="28"/>
          <w:szCs w:val="28"/>
        </w:rPr>
        <w:t>元，其中：</w:t>
      </w:r>
    </w:p>
    <w:p>
      <w:pPr>
        <w:pStyle w:val="10"/>
        <w:widowControl/>
        <w:shd w:val="clear" w:color="auto" w:fill="FFFFFF"/>
        <w:ind w:firstLine="560"/>
        <w:jc w:val="left"/>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cstheme="minorEastAsia"/>
          <w:color w:val="auto"/>
          <w:sz w:val="28"/>
          <w:szCs w:val="28"/>
        </w:rPr>
        <w:t>因公出国（境）费0元，预算数0元，决算数比预算数增加0元，增长幅度为0%本单位因公出国（境）团组数0、人数0</w:t>
      </w:r>
      <w:r>
        <w:rPr>
          <w:rFonts w:hint="eastAsia" w:asciiTheme="minorEastAsia" w:hAnsiTheme="minorEastAsia" w:cstheme="minorEastAsia"/>
          <w:color w:val="auto"/>
          <w:sz w:val="28"/>
          <w:szCs w:val="28"/>
          <w:lang w:eastAsia="zh-CN"/>
        </w:rPr>
        <w:t>。</w:t>
      </w:r>
    </w:p>
    <w:p>
      <w:pPr>
        <w:pStyle w:val="9"/>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_GB2312" w:eastAsia="仿宋_GB2312"/>
          <w:color w:val="000000"/>
          <w:sz w:val="32"/>
          <w:szCs w:val="32"/>
          <w:highlight w:val="none"/>
          <w:u w:val="none"/>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公务用车购置及运行费支出决算为</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年初</w:t>
      </w:r>
      <w:r>
        <w:rPr>
          <w:rFonts w:hint="eastAsia" w:asciiTheme="minorEastAsia" w:hAnsiTheme="minorEastAsia" w:eastAsiaTheme="minorEastAsia" w:cstheme="minorEastAsia"/>
          <w:sz w:val="28"/>
          <w:szCs w:val="28"/>
        </w:rPr>
        <w:t>预算</w:t>
      </w:r>
      <w:r>
        <w:rPr>
          <w:rFonts w:hint="eastAsia" w:asciiTheme="minorEastAsia" w:hAnsiTheme="minorEastAsia" w:cstheme="minorEastAsia"/>
          <w:sz w:val="28"/>
          <w:szCs w:val="28"/>
          <w:lang w:val="en-US" w:eastAsia="zh-CN"/>
        </w:rPr>
        <w:t>0元</w:t>
      </w:r>
      <w:r>
        <w:rPr>
          <w:rFonts w:hint="eastAsia" w:asciiTheme="minorEastAsia" w:hAnsiTheme="minorEastAsia" w:eastAsiaTheme="minorEastAsia" w:cstheme="minorEastAsia"/>
          <w:sz w:val="28"/>
          <w:szCs w:val="28"/>
        </w:rPr>
        <w:t>；其中：</w:t>
      </w:r>
    </w:p>
    <w:p>
      <w:pPr>
        <w:pStyle w:val="9"/>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公务车运行维护费0元，年初预算数0元，决算数比预算数增加0元，增加幅度为0%；</w:t>
      </w:r>
      <w:r>
        <w:rPr>
          <w:rFonts w:hint="eastAsia" w:asciiTheme="minorEastAsia" w:hAnsiTheme="minorEastAsia" w:eastAsiaTheme="minorEastAsia" w:cstheme="minorEastAsia"/>
          <w:sz w:val="28"/>
          <w:szCs w:val="28"/>
          <w:lang w:val="en-US" w:eastAsia="zh-CN"/>
        </w:rPr>
        <w:t>公务车实物量0，保有量0，与2020年度持平；</w:t>
      </w:r>
    </w:p>
    <w:p>
      <w:pPr>
        <w:pStyle w:val="9"/>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公务用车购置费0元，年初预算</w:t>
      </w:r>
      <w:r>
        <w:rPr>
          <w:rFonts w:hint="eastAsia" w:asciiTheme="minorEastAsia" w:hAnsiTheme="minorEastAsia" w:eastAsiaTheme="minorEastAsia" w:cstheme="minorEastAsia"/>
          <w:sz w:val="28"/>
          <w:szCs w:val="28"/>
        </w:rPr>
        <w:t>年初预算数0元，决算数比预算数增加0元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与2020年度持平；</w:t>
      </w:r>
    </w:p>
    <w:p>
      <w:pPr>
        <w:pStyle w:val="10"/>
        <w:widowControl/>
        <w:shd w:val="clear" w:color="auto" w:fill="FFFFFF"/>
        <w:ind w:firstLine="560"/>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3、</w:t>
      </w:r>
      <w:r>
        <w:rPr>
          <w:rFonts w:hint="eastAsia" w:asciiTheme="minorEastAsia" w:hAnsiTheme="minorEastAsia" w:cstheme="minorEastAsia"/>
          <w:color w:val="auto"/>
          <w:sz w:val="28"/>
          <w:szCs w:val="28"/>
        </w:rPr>
        <w:t>公务接待费</w:t>
      </w:r>
      <w:r>
        <w:rPr>
          <w:rFonts w:hint="eastAsia" w:asciiTheme="minorEastAsia" w:hAnsiTheme="minorEastAsia" w:cstheme="minorEastAsia"/>
          <w:color w:val="auto"/>
          <w:sz w:val="28"/>
          <w:szCs w:val="28"/>
          <w:lang w:val="en-US" w:eastAsia="zh-CN"/>
        </w:rPr>
        <w:t>1200</w:t>
      </w:r>
      <w:r>
        <w:rPr>
          <w:rFonts w:hint="eastAsia" w:asciiTheme="minorEastAsia" w:hAnsiTheme="minorEastAsia" w:cstheme="minorEastAsia"/>
          <w:color w:val="auto"/>
          <w:sz w:val="28"/>
          <w:szCs w:val="28"/>
        </w:rPr>
        <w:t>元，年初预算数</w:t>
      </w:r>
      <w:r>
        <w:rPr>
          <w:rFonts w:hint="eastAsia" w:asciiTheme="minorEastAsia" w:hAnsiTheme="minorEastAsia" w:cstheme="minorEastAsia"/>
          <w:color w:val="auto"/>
          <w:sz w:val="28"/>
          <w:szCs w:val="28"/>
          <w:lang w:val="en-US" w:eastAsia="zh-CN"/>
        </w:rPr>
        <w:t>4000</w:t>
      </w:r>
      <w:r>
        <w:rPr>
          <w:rFonts w:hint="eastAsia" w:asciiTheme="minorEastAsia" w:hAnsiTheme="minorEastAsia" w:cstheme="minorEastAsia"/>
          <w:color w:val="auto"/>
          <w:sz w:val="28"/>
          <w:szCs w:val="28"/>
        </w:rPr>
        <w:t>元，决算数比预算数增加</w:t>
      </w:r>
      <w:r>
        <w:rPr>
          <w:rFonts w:hint="eastAsia" w:asciiTheme="minorEastAsia" w:hAnsiTheme="minorEastAsia" w:cstheme="minorEastAsia"/>
          <w:color w:val="auto"/>
          <w:sz w:val="28"/>
          <w:szCs w:val="28"/>
          <w:lang w:val="en-US" w:eastAsia="zh-CN"/>
        </w:rPr>
        <w:t>-2800</w:t>
      </w:r>
      <w:r>
        <w:rPr>
          <w:rFonts w:hint="eastAsia" w:asciiTheme="minorEastAsia" w:hAnsiTheme="minorEastAsia" w:cstheme="minorEastAsia"/>
          <w:color w:val="auto"/>
          <w:sz w:val="28"/>
          <w:szCs w:val="28"/>
        </w:rPr>
        <w:t>元，增长幅度为</w:t>
      </w:r>
      <w:r>
        <w:rPr>
          <w:rFonts w:hint="eastAsia" w:asciiTheme="minorEastAsia" w:hAnsiTheme="minorEastAsia" w:cstheme="minorEastAsia"/>
          <w:color w:val="auto"/>
          <w:sz w:val="28"/>
          <w:szCs w:val="28"/>
          <w:lang w:val="en-US" w:eastAsia="zh-CN"/>
        </w:rPr>
        <w:t>-70</w:t>
      </w:r>
      <w:r>
        <w:rPr>
          <w:rFonts w:hint="eastAsia" w:asciiTheme="minorEastAsia" w:hAnsiTheme="minorEastAsia" w:cstheme="minorEastAsia"/>
          <w:color w:val="auto"/>
          <w:sz w:val="28"/>
          <w:szCs w:val="28"/>
        </w:rPr>
        <w:t>%公务接待批次</w:t>
      </w:r>
      <w:r>
        <w:rPr>
          <w:rFonts w:hint="eastAsia" w:asciiTheme="minorEastAsia" w:hAnsiTheme="minorEastAsia" w:cstheme="minorEastAsia"/>
          <w:color w:val="auto"/>
          <w:sz w:val="28"/>
          <w:szCs w:val="28"/>
          <w:lang w:val="en-US" w:eastAsia="zh-CN"/>
        </w:rPr>
        <w:t>1</w:t>
      </w:r>
      <w:r>
        <w:rPr>
          <w:rFonts w:hint="eastAsia" w:asciiTheme="minorEastAsia" w:hAnsiTheme="minorEastAsia" w:cstheme="minorEastAsia"/>
          <w:color w:val="auto"/>
          <w:sz w:val="28"/>
          <w:szCs w:val="28"/>
        </w:rPr>
        <w:t>、人数</w:t>
      </w:r>
      <w:r>
        <w:rPr>
          <w:rFonts w:hint="eastAsia" w:asciiTheme="minorEastAsia" w:hAnsiTheme="minorEastAsia" w:cstheme="minorEastAsia"/>
          <w:color w:val="auto"/>
          <w:sz w:val="28"/>
          <w:szCs w:val="28"/>
          <w:lang w:val="en-US" w:eastAsia="zh-CN"/>
        </w:rPr>
        <w:t>10</w:t>
      </w:r>
      <w:r>
        <w:rPr>
          <w:rFonts w:hint="eastAsia" w:asciiTheme="minorEastAsia" w:hAnsiTheme="minorEastAsia" w:cstheme="minorEastAsia"/>
          <w:color w:val="auto"/>
          <w:sz w:val="28"/>
          <w:szCs w:val="28"/>
        </w:rPr>
        <w:t>；</w:t>
      </w:r>
    </w:p>
    <w:p>
      <w:pPr>
        <w:pStyle w:val="10"/>
        <w:widowControl/>
        <w:shd w:val="clear" w:color="auto" w:fill="FFFFFF"/>
        <w:ind w:firstLine="560"/>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202</w:t>
      </w:r>
      <w:r>
        <w:rPr>
          <w:rFonts w:hint="eastAsia" w:asciiTheme="minorEastAsia" w:hAnsiTheme="minorEastAsia" w:cstheme="minorEastAsia"/>
          <w:color w:val="auto"/>
          <w:sz w:val="28"/>
          <w:szCs w:val="28"/>
          <w:lang w:val="en-US" w:eastAsia="zh-CN"/>
        </w:rPr>
        <w:t>0</w:t>
      </w:r>
      <w:r>
        <w:rPr>
          <w:rFonts w:hint="eastAsia" w:asciiTheme="minorEastAsia" w:hAnsiTheme="minorEastAsia" w:cstheme="minorEastAsia"/>
          <w:color w:val="auto"/>
          <w:sz w:val="28"/>
          <w:szCs w:val="28"/>
        </w:rPr>
        <w:t>年“三公”经费</w:t>
      </w:r>
      <w:r>
        <w:rPr>
          <w:rFonts w:hint="eastAsia" w:asciiTheme="minorEastAsia" w:hAnsiTheme="minorEastAsia" w:cstheme="minorEastAsia"/>
          <w:color w:val="auto"/>
          <w:sz w:val="28"/>
          <w:szCs w:val="28"/>
          <w:lang w:val="en-US" w:eastAsia="zh-CN"/>
        </w:rPr>
        <w:t>预算数4000元，</w:t>
      </w:r>
      <w:r>
        <w:rPr>
          <w:rFonts w:hint="eastAsia" w:asciiTheme="minorEastAsia" w:hAnsiTheme="minorEastAsia" w:cstheme="minorEastAsia"/>
          <w:color w:val="auto"/>
          <w:sz w:val="28"/>
          <w:szCs w:val="28"/>
        </w:rPr>
        <w:t>决算总支出</w:t>
      </w:r>
      <w:r>
        <w:rPr>
          <w:rFonts w:hint="eastAsia" w:asciiTheme="minorEastAsia" w:hAnsiTheme="minorEastAsia" w:cstheme="minorEastAsia"/>
          <w:color w:val="auto"/>
          <w:sz w:val="28"/>
          <w:szCs w:val="28"/>
          <w:lang w:val="en-US" w:eastAsia="zh-CN"/>
        </w:rPr>
        <w:t>439</w:t>
      </w:r>
      <w:r>
        <w:rPr>
          <w:rFonts w:hint="eastAsia" w:asciiTheme="minorEastAsia" w:hAnsiTheme="minorEastAsia" w:cstheme="minorEastAsia"/>
          <w:color w:val="auto"/>
          <w:sz w:val="28"/>
          <w:szCs w:val="28"/>
        </w:rPr>
        <w:t>元，其中：</w:t>
      </w:r>
    </w:p>
    <w:p>
      <w:pPr>
        <w:pStyle w:val="10"/>
        <w:widowControl/>
        <w:shd w:val="clear" w:color="auto" w:fill="FFFFFF"/>
        <w:ind w:firstLine="560"/>
        <w:jc w:val="left"/>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因公出国（境）费0元，预算数0元，决算数比预算数增加0元，增长幅度为0%本单位因公出国（境）团组数0、人数0</w:t>
      </w:r>
      <w:r>
        <w:rPr>
          <w:rFonts w:hint="eastAsia" w:asciiTheme="minorEastAsia" w:hAnsiTheme="minorEastAsia" w:cstheme="minorEastAsia"/>
          <w:sz w:val="28"/>
          <w:szCs w:val="28"/>
          <w:lang w:eastAsia="zh-CN"/>
        </w:rPr>
        <w:t>。</w:t>
      </w:r>
    </w:p>
    <w:p>
      <w:pPr>
        <w:pStyle w:val="9"/>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_GB2312" w:eastAsia="仿宋_GB2312"/>
          <w:color w:val="000000"/>
          <w:sz w:val="32"/>
          <w:szCs w:val="32"/>
          <w:highlight w:val="none"/>
          <w:u w:val="none"/>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sz w:val="28"/>
          <w:szCs w:val="28"/>
        </w:rPr>
        <w:t>公务用车购置及运行费支出决算为</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年初</w:t>
      </w:r>
      <w:r>
        <w:rPr>
          <w:rFonts w:hint="eastAsia" w:asciiTheme="minorEastAsia" w:hAnsiTheme="minorEastAsia" w:eastAsiaTheme="minorEastAsia" w:cstheme="minorEastAsia"/>
          <w:sz w:val="28"/>
          <w:szCs w:val="28"/>
        </w:rPr>
        <w:t>预算</w:t>
      </w:r>
      <w:r>
        <w:rPr>
          <w:rFonts w:hint="eastAsia" w:asciiTheme="minorEastAsia" w:hAnsiTheme="minorEastAsia" w:cstheme="minorEastAsia"/>
          <w:sz w:val="28"/>
          <w:szCs w:val="28"/>
          <w:lang w:val="en-US" w:eastAsia="zh-CN"/>
        </w:rPr>
        <w:t>0元</w:t>
      </w:r>
      <w:r>
        <w:rPr>
          <w:rFonts w:hint="eastAsia" w:asciiTheme="minorEastAsia" w:hAnsiTheme="minorEastAsia" w:eastAsiaTheme="minorEastAsia" w:cstheme="minorEastAsia"/>
          <w:sz w:val="28"/>
          <w:szCs w:val="28"/>
        </w:rPr>
        <w:t>；其中：</w:t>
      </w:r>
    </w:p>
    <w:p>
      <w:pPr>
        <w:pStyle w:val="9"/>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公务车运行维护费0元，年初预算数0元，决算数比预算数增加0元，增加幅度为0%；</w:t>
      </w:r>
      <w:r>
        <w:rPr>
          <w:rFonts w:hint="eastAsia" w:asciiTheme="minorEastAsia" w:hAnsiTheme="minorEastAsia" w:eastAsiaTheme="minorEastAsia" w:cstheme="minorEastAsia"/>
          <w:sz w:val="28"/>
          <w:szCs w:val="28"/>
          <w:lang w:val="en-US" w:eastAsia="zh-CN"/>
        </w:rPr>
        <w:t>公务车实物量0，保有量0；</w:t>
      </w:r>
    </w:p>
    <w:p>
      <w:pPr>
        <w:pStyle w:val="9"/>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公务用车购置费0元，年初预算</w:t>
      </w:r>
      <w:r>
        <w:rPr>
          <w:rFonts w:hint="eastAsia" w:asciiTheme="minorEastAsia" w:hAnsiTheme="minorEastAsia" w:eastAsiaTheme="minorEastAsia" w:cstheme="minorEastAsia"/>
          <w:sz w:val="28"/>
          <w:szCs w:val="28"/>
        </w:rPr>
        <w:t>年初预算数0元，决算数比预算数增加0元</w:t>
      </w:r>
      <w:r>
        <w:rPr>
          <w:rFonts w:hint="eastAsia" w:asciiTheme="minorEastAsia" w:hAnsiTheme="minorEastAsia" w:eastAsiaTheme="minorEastAsia" w:cstheme="minorEastAsia"/>
          <w:sz w:val="28"/>
          <w:szCs w:val="28"/>
          <w:lang w:val="en-US" w:eastAsia="zh-CN"/>
        </w:rPr>
        <w:t>；</w:t>
      </w:r>
    </w:p>
    <w:p>
      <w:pPr>
        <w:pStyle w:val="10"/>
        <w:widowControl/>
        <w:shd w:val="clear" w:color="auto" w:fill="FFFFFF"/>
        <w:ind w:firstLine="560"/>
        <w:jc w:val="left"/>
        <w:rPr>
          <w:rFonts w:hint="eastAsia" w:asciiTheme="minorEastAsia" w:hAnsiTheme="minorEastAsia" w:cstheme="minorEastAsia"/>
          <w:sz w:val="28"/>
          <w:szCs w:val="28"/>
        </w:rPr>
      </w:pPr>
      <w:r>
        <w:rPr>
          <w:rFonts w:hint="eastAsia" w:asciiTheme="minorEastAsia" w:hAnsiTheme="minorEastAsia" w:cstheme="minorEastAsia"/>
          <w:color w:val="auto"/>
          <w:sz w:val="28"/>
          <w:szCs w:val="28"/>
          <w:lang w:val="en-US" w:eastAsia="zh-CN"/>
        </w:rPr>
        <w:t>3、</w:t>
      </w:r>
      <w:r>
        <w:rPr>
          <w:rFonts w:hint="eastAsia" w:asciiTheme="minorEastAsia" w:hAnsiTheme="minorEastAsia" w:cstheme="minorEastAsia"/>
          <w:color w:val="auto"/>
          <w:sz w:val="28"/>
          <w:szCs w:val="28"/>
        </w:rPr>
        <w:t>公务接待费</w:t>
      </w:r>
      <w:r>
        <w:rPr>
          <w:rFonts w:hint="eastAsia" w:asciiTheme="minorEastAsia" w:hAnsiTheme="minorEastAsia" w:cstheme="minorEastAsia"/>
          <w:color w:val="auto"/>
          <w:sz w:val="28"/>
          <w:szCs w:val="28"/>
          <w:lang w:val="en-US" w:eastAsia="zh-CN"/>
        </w:rPr>
        <w:t>439</w:t>
      </w:r>
      <w:r>
        <w:rPr>
          <w:rFonts w:hint="eastAsia" w:asciiTheme="minorEastAsia" w:hAnsiTheme="minorEastAsia" w:cstheme="minorEastAsia"/>
          <w:color w:val="auto"/>
          <w:sz w:val="28"/>
          <w:szCs w:val="28"/>
        </w:rPr>
        <w:t>元，年初预算数</w:t>
      </w:r>
      <w:r>
        <w:rPr>
          <w:rFonts w:hint="eastAsia" w:asciiTheme="minorEastAsia" w:hAnsiTheme="minorEastAsia" w:cstheme="minorEastAsia"/>
          <w:color w:val="auto"/>
          <w:sz w:val="28"/>
          <w:szCs w:val="28"/>
          <w:lang w:val="en-US" w:eastAsia="zh-CN"/>
        </w:rPr>
        <w:t>4000</w:t>
      </w:r>
      <w:r>
        <w:rPr>
          <w:rFonts w:hint="eastAsia" w:asciiTheme="minorEastAsia" w:hAnsiTheme="minorEastAsia" w:cstheme="minorEastAsia"/>
          <w:color w:val="auto"/>
          <w:sz w:val="28"/>
          <w:szCs w:val="28"/>
        </w:rPr>
        <w:t>元，决算数比预算数增加</w:t>
      </w:r>
      <w:r>
        <w:rPr>
          <w:rFonts w:hint="eastAsia" w:asciiTheme="minorEastAsia" w:hAnsiTheme="minorEastAsia" w:cstheme="minorEastAsia"/>
          <w:color w:val="auto"/>
          <w:sz w:val="28"/>
          <w:szCs w:val="28"/>
          <w:lang w:val="en-US" w:eastAsia="zh-CN"/>
        </w:rPr>
        <w:t>-3561</w:t>
      </w:r>
      <w:r>
        <w:rPr>
          <w:rFonts w:hint="eastAsia" w:asciiTheme="minorEastAsia" w:hAnsiTheme="minorEastAsia" w:cstheme="minorEastAsia"/>
          <w:color w:val="auto"/>
          <w:sz w:val="28"/>
          <w:szCs w:val="28"/>
        </w:rPr>
        <w:t>元，增长幅度为</w:t>
      </w:r>
      <w:r>
        <w:rPr>
          <w:rFonts w:hint="eastAsia" w:asciiTheme="minorEastAsia" w:hAnsiTheme="minorEastAsia" w:cstheme="minorEastAsia"/>
          <w:color w:val="auto"/>
          <w:sz w:val="28"/>
          <w:szCs w:val="28"/>
          <w:lang w:val="en-US" w:eastAsia="zh-CN"/>
        </w:rPr>
        <w:t>-89</w:t>
      </w:r>
      <w:r>
        <w:rPr>
          <w:rFonts w:hint="eastAsia" w:asciiTheme="minorEastAsia" w:hAnsiTheme="minorEastAsia" w:cstheme="minorEastAsia"/>
          <w:color w:val="auto"/>
          <w:sz w:val="28"/>
          <w:szCs w:val="28"/>
        </w:rPr>
        <w:t>%公</w:t>
      </w:r>
      <w:r>
        <w:rPr>
          <w:rFonts w:hint="eastAsia" w:asciiTheme="minorEastAsia" w:hAnsiTheme="minorEastAsia" w:cstheme="minorEastAsia"/>
          <w:sz w:val="28"/>
          <w:szCs w:val="28"/>
        </w:rPr>
        <w:t>务接待批次</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、人数</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w:t>
      </w:r>
    </w:p>
    <w:p>
      <w:pPr>
        <w:pStyle w:val="10"/>
        <w:widowControl/>
        <w:shd w:val="clear" w:color="auto" w:fill="FFFFFF"/>
        <w:ind w:firstLine="560"/>
        <w:jc w:val="left"/>
        <w:rPr>
          <w:rFonts w:hint="eastAsia" w:asciiTheme="minorEastAsia" w:hAnsiTheme="minorEastAsia" w:cstheme="minorEastAsia"/>
          <w:sz w:val="28"/>
          <w:szCs w:val="28"/>
          <w:lang w:eastAsia="zh-CN"/>
        </w:rPr>
      </w:pP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b/>
          <w:bCs/>
          <w:i w:val="0"/>
          <w:caps w:val="0"/>
          <w:color w:val="auto"/>
          <w:spacing w:val="0"/>
          <w:sz w:val="28"/>
          <w:szCs w:val="28"/>
          <w:shd w:val="clear" w:fill="FFFFFF"/>
          <w:lang w:val="en-US" w:eastAsia="zh-CN"/>
        </w:rPr>
      </w:pPr>
      <w:r>
        <w:rPr>
          <w:rFonts w:hint="eastAsia" w:asciiTheme="minorEastAsia" w:hAnsiTheme="minorEastAsia" w:eastAsiaTheme="minorEastAsia" w:cstheme="minorEastAsia"/>
          <w:b/>
          <w:bCs/>
          <w:i w:val="0"/>
          <w:caps w:val="0"/>
          <w:color w:val="auto"/>
          <w:spacing w:val="0"/>
          <w:sz w:val="28"/>
          <w:szCs w:val="28"/>
          <w:shd w:val="clear" w:fill="FFFFFF"/>
          <w:lang w:val="en-US" w:eastAsia="zh-CN"/>
        </w:rPr>
        <w:t>关于机关运行经费支出说明</w:t>
      </w:r>
    </w:p>
    <w:p>
      <w:pPr>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highlight w:val="none"/>
        </w:rPr>
        <w:t>本部门</w:t>
      </w:r>
      <w:r>
        <w:rPr>
          <w:rFonts w:hint="eastAsia" w:ascii="宋体" w:hAnsi="宋体" w:eastAsia="宋体" w:cs="宋体"/>
          <w:color w:val="auto"/>
          <w:sz w:val="28"/>
          <w:szCs w:val="28"/>
          <w:highlight w:val="none"/>
          <w:lang w:val="en-US" w:eastAsia="zh-CN"/>
        </w:rPr>
        <w:t>2021</w:t>
      </w:r>
      <w:r>
        <w:rPr>
          <w:rFonts w:hint="eastAsia" w:ascii="宋体" w:hAnsi="宋体" w:eastAsia="宋体" w:cs="宋体"/>
          <w:color w:val="auto"/>
          <w:sz w:val="28"/>
          <w:szCs w:val="28"/>
          <w:highlight w:val="none"/>
        </w:rPr>
        <w:t>年度机关运行经费支出</w:t>
      </w:r>
      <w:r>
        <w:rPr>
          <w:rFonts w:hint="eastAsia" w:ascii="宋体" w:hAnsi="宋体" w:eastAsia="宋体" w:cs="宋体"/>
          <w:color w:val="auto"/>
          <w:spacing w:val="2"/>
          <w:sz w:val="28"/>
          <w:szCs w:val="28"/>
          <w:lang w:val="en-US" w:eastAsia="zh-CN"/>
        </w:rPr>
        <w:t>139.11</w:t>
      </w:r>
      <w:r>
        <w:rPr>
          <w:rFonts w:hint="eastAsia" w:ascii="宋体" w:hAnsi="宋体" w:eastAsia="宋体" w:cs="宋体"/>
          <w:color w:val="auto"/>
          <w:sz w:val="28"/>
          <w:szCs w:val="28"/>
          <w:highlight w:val="none"/>
        </w:rPr>
        <w:t>万元，与2020年决算数</w:t>
      </w:r>
      <w:r>
        <w:rPr>
          <w:rFonts w:hint="eastAsia" w:ascii="宋体" w:hAnsi="宋体" w:eastAsia="宋体" w:cs="宋体"/>
          <w:color w:val="auto"/>
          <w:sz w:val="28"/>
          <w:szCs w:val="28"/>
          <w:highlight w:val="none"/>
          <w:lang w:val="en-US" w:eastAsia="zh-CN"/>
        </w:rPr>
        <w:t>103.66</w:t>
      </w:r>
      <w:r>
        <w:rPr>
          <w:rFonts w:hint="eastAsia" w:ascii="宋体" w:hAnsi="宋体" w:eastAsia="宋体" w:cs="宋体"/>
          <w:color w:val="auto"/>
          <w:sz w:val="28"/>
          <w:szCs w:val="28"/>
          <w:highlight w:val="none"/>
        </w:rPr>
        <w:t>万元增加了</w:t>
      </w:r>
      <w:r>
        <w:rPr>
          <w:rFonts w:hint="eastAsia" w:ascii="宋体" w:hAnsi="宋体" w:eastAsia="宋体" w:cs="宋体"/>
          <w:color w:val="auto"/>
          <w:sz w:val="28"/>
          <w:szCs w:val="28"/>
          <w:highlight w:val="none"/>
          <w:lang w:val="en-US" w:eastAsia="zh-CN"/>
        </w:rPr>
        <w:t>34.78</w:t>
      </w:r>
      <w:r>
        <w:rPr>
          <w:rFonts w:hint="eastAsia" w:ascii="宋体" w:hAnsi="宋体" w:eastAsia="宋体" w:cs="宋体"/>
          <w:color w:val="auto"/>
          <w:sz w:val="28"/>
          <w:szCs w:val="28"/>
          <w:highlight w:val="none"/>
        </w:rPr>
        <w:t>万元，较2021年预算数</w:t>
      </w:r>
      <w:r>
        <w:rPr>
          <w:rFonts w:hint="eastAsia" w:ascii="宋体" w:hAnsi="宋体" w:eastAsia="宋体" w:cs="宋体"/>
          <w:color w:val="auto"/>
          <w:sz w:val="28"/>
          <w:szCs w:val="28"/>
          <w:highlight w:val="none"/>
          <w:lang w:val="en-US" w:eastAsia="zh-CN"/>
        </w:rPr>
        <w:t>109.48</w:t>
      </w:r>
      <w:r>
        <w:rPr>
          <w:rFonts w:hint="eastAsia" w:ascii="宋体" w:hAnsi="宋体" w:eastAsia="宋体" w:cs="宋体"/>
          <w:color w:val="auto"/>
          <w:sz w:val="28"/>
          <w:szCs w:val="28"/>
          <w:highlight w:val="none"/>
        </w:rPr>
        <w:t>万元增加了</w:t>
      </w:r>
      <w:r>
        <w:rPr>
          <w:rFonts w:hint="eastAsia" w:ascii="宋体" w:hAnsi="宋体" w:eastAsia="宋体" w:cs="宋体"/>
          <w:color w:val="auto"/>
          <w:sz w:val="28"/>
          <w:szCs w:val="28"/>
          <w:highlight w:val="none"/>
          <w:lang w:val="en-US" w:eastAsia="zh-CN"/>
        </w:rPr>
        <w:t>29.63</w:t>
      </w:r>
      <w:r>
        <w:rPr>
          <w:rFonts w:hint="eastAsia" w:ascii="宋体" w:hAnsi="宋体" w:eastAsia="宋体" w:cs="宋体"/>
          <w:color w:val="auto"/>
          <w:sz w:val="28"/>
          <w:szCs w:val="28"/>
          <w:highlight w:val="none"/>
        </w:rPr>
        <w:t>万元。主</w:t>
      </w:r>
      <w:r>
        <w:rPr>
          <w:rFonts w:hint="eastAsia" w:ascii="宋体" w:hAnsi="宋体" w:eastAsia="宋体" w:cs="宋体"/>
          <w:color w:val="auto"/>
          <w:spacing w:val="2"/>
          <w:sz w:val="28"/>
          <w:szCs w:val="28"/>
          <w:lang w:val="en-US" w:eastAsia="zh-CN"/>
        </w:rPr>
        <w:t>要用于办公及印刷费、邮电费、差旅费、培训费、日常维修费、办公设备购置费、办公用房水电费、劳务费、委托业务费、工会经费、福利费以及其他费用，比2020年增加34.78万元，增长33.55%。主要原因为</w:t>
      </w:r>
      <w:r>
        <w:rPr>
          <w:rFonts w:hint="eastAsia" w:ascii="宋体" w:hAnsi="宋体" w:eastAsia="宋体" w:cs="宋体"/>
          <w:color w:val="auto"/>
          <w:sz w:val="28"/>
          <w:szCs w:val="28"/>
        </w:rPr>
        <w:t>专项费用-侨联、党派费用</w:t>
      </w:r>
      <w:r>
        <w:rPr>
          <w:rFonts w:hint="eastAsia" w:ascii="宋体" w:hAnsi="宋体" w:eastAsia="宋体" w:cs="宋体"/>
          <w:color w:val="auto"/>
          <w:sz w:val="28"/>
          <w:szCs w:val="28"/>
          <w:lang w:eastAsia="zh-CN"/>
        </w:rPr>
        <w:t>增加及本年度决算并入工商联数据</w:t>
      </w:r>
      <w:r>
        <w:rPr>
          <w:rFonts w:hint="eastAsia" w:ascii="宋体" w:hAnsi="宋体" w:eastAsia="宋体" w:cs="宋体"/>
          <w:color w:val="auto"/>
          <w:sz w:val="28"/>
          <w:szCs w:val="2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b/>
          <w:bCs/>
          <w:i w:val="0"/>
          <w:caps w:val="0"/>
          <w:color w:val="auto"/>
          <w:spacing w:val="0"/>
          <w:sz w:val="28"/>
          <w:szCs w:val="28"/>
          <w:shd w:val="clear" w:fill="FFFFFF"/>
          <w:lang w:val="en-US" w:eastAsia="zh-CN"/>
        </w:rPr>
      </w:pPr>
      <w:r>
        <w:rPr>
          <w:rFonts w:hint="eastAsia" w:asciiTheme="minorEastAsia" w:hAnsiTheme="minorEastAsia" w:eastAsiaTheme="minorEastAsia" w:cstheme="minorEastAsia"/>
          <w:b/>
          <w:bCs/>
          <w:i w:val="0"/>
          <w:caps w:val="0"/>
          <w:color w:val="auto"/>
          <w:spacing w:val="0"/>
          <w:sz w:val="28"/>
          <w:szCs w:val="28"/>
          <w:shd w:val="clear" w:fill="FFFFFF"/>
          <w:lang w:val="en-US" w:eastAsia="zh-CN"/>
        </w:rPr>
        <w:t>（四）关于政府采购支出说明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eastAsia="宋体" w:cs="宋体"/>
          <w:color w:val="auto"/>
          <w:spacing w:val="2"/>
          <w:kern w:val="2"/>
          <w:sz w:val="28"/>
          <w:szCs w:val="28"/>
          <w:lang w:val="en-US" w:eastAsia="zh-CN" w:bidi="ar-SA"/>
        </w:rPr>
      </w:pPr>
      <w:r>
        <w:rPr>
          <w:rFonts w:hint="eastAsia" w:ascii="宋体" w:hAnsi="宋体" w:eastAsia="宋体" w:cs="宋体"/>
          <w:color w:val="auto"/>
          <w:spacing w:val="2"/>
          <w:kern w:val="2"/>
          <w:sz w:val="28"/>
          <w:szCs w:val="28"/>
          <w:lang w:val="en-US" w:eastAsia="zh-CN" w:bidi="ar-SA"/>
        </w:rPr>
        <w:t>本部门（单位）2021年度政府采购支出总额0万元，其中：政府采购货物支出0万元、政府采购工程支出0万元、政府采购服务支出0万元。授予中小企业合同金额0万元，占政府采购支出总额的</w:t>
      </w:r>
      <w:r>
        <w:rPr>
          <w:rFonts w:hint="eastAsia" w:ascii="宋体" w:hAnsi="宋体" w:cs="宋体"/>
          <w:color w:val="auto"/>
          <w:spacing w:val="2"/>
          <w:kern w:val="2"/>
          <w:sz w:val="28"/>
          <w:szCs w:val="28"/>
          <w:lang w:val="en-US" w:eastAsia="zh-CN" w:bidi="ar-SA"/>
        </w:rPr>
        <w:t>0</w:t>
      </w:r>
      <w:r>
        <w:rPr>
          <w:rFonts w:hint="eastAsia" w:ascii="宋体" w:hAnsi="宋体" w:eastAsia="宋体" w:cs="宋体"/>
          <w:color w:val="auto"/>
          <w:spacing w:val="2"/>
          <w:kern w:val="2"/>
          <w:sz w:val="28"/>
          <w:szCs w:val="28"/>
          <w:lang w:val="en-US" w:eastAsia="zh-CN" w:bidi="ar-SA"/>
        </w:rPr>
        <w:t>%，其中：授予小微企业合同金额0万元，占政府采购支出总额的</w:t>
      </w:r>
      <w:r>
        <w:rPr>
          <w:rFonts w:hint="eastAsia" w:ascii="宋体" w:hAnsi="宋体" w:cs="宋体"/>
          <w:color w:val="auto"/>
          <w:spacing w:val="2"/>
          <w:kern w:val="2"/>
          <w:sz w:val="28"/>
          <w:szCs w:val="28"/>
          <w:lang w:val="en-US" w:eastAsia="zh-CN" w:bidi="ar-SA"/>
        </w:rPr>
        <w:t>0</w:t>
      </w:r>
      <w:r>
        <w:rPr>
          <w:rFonts w:hint="eastAsia" w:ascii="宋体" w:hAnsi="宋体" w:eastAsia="宋体" w:cs="宋体"/>
          <w:color w:val="auto"/>
          <w:spacing w:val="2"/>
          <w:kern w:val="2"/>
          <w:sz w:val="28"/>
          <w:szCs w:val="28"/>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b/>
          <w:bCs/>
          <w:i w:val="0"/>
          <w:caps w:val="0"/>
          <w:color w:val="auto"/>
          <w:spacing w:val="0"/>
          <w:sz w:val="28"/>
          <w:szCs w:val="28"/>
          <w:shd w:val="clear" w:fill="FFFFFF"/>
          <w:lang w:val="en-US" w:eastAsia="zh-CN"/>
        </w:rPr>
      </w:pPr>
      <w:r>
        <w:rPr>
          <w:rFonts w:hint="eastAsia" w:asciiTheme="minorEastAsia" w:hAnsiTheme="minorEastAsia" w:eastAsiaTheme="minorEastAsia" w:cstheme="minorEastAsia"/>
          <w:b/>
          <w:bCs/>
          <w:i w:val="0"/>
          <w:caps w:val="0"/>
          <w:color w:val="auto"/>
          <w:spacing w:val="0"/>
          <w:sz w:val="28"/>
          <w:szCs w:val="28"/>
          <w:shd w:val="clear" w:fill="FFFFFF"/>
          <w:lang w:val="en-US" w:eastAsia="zh-CN"/>
        </w:rPr>
        <w:t>（五）关于国有资产占用情况说明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kern w:val="2"/>
          <w:sz w:val="28"/>
          <w:szCs w:val="28"/>
          <w:highlight w:val="none"/>
          <w:lang w:val="en-US" w:eastAsia="zh-CN" w:bidi="ar-SA"/>
        </w:rPr>
        <w:t xml:space="preserve">截至2021年12月31日，本部门（单位）共有车辆0辆，其中，主要领导干部用车0辆、机要通信用车0辆、应急保障用车0 辆、执法执勤用车0 辆、特种专业技术用车0 辆、离退休干部用车0辆、其他用车0辆；单位价值50万元以上通用设备0台（套）；单位价值100万元以上专用设备0台（套）。 </w:t>
      </w:r>
      <w:r>
        <w:rPr>
          <w:rFonts w:hint="eastAsia" w:asciiTheme="minorEastAsia" w:hAnsiTheme="minorEastAsia" w:eastAsiaTheme="minorEastAsia" w:cstheme="minorEastAsia"/>
          <w:sz w:val="28"/>
          <w:szCs w:val="28"/>
          <w:highlight w:val="none"/>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b/>
          <w:bCs/>
          <w:i w:val="0"/>
          <w:caps w:val="0"/>
          <w:color w:val="333333"/>
          <w:spacing w:val="0"/>
          <w:sz w:val="28"/>
          <w:szCs w:val="28"/>
          <w:shd w:val="clear" w:fill="FFFFFF"/>
          <w:lang w:val="en-US" w:eastAsia="zh-CN"/>
        </w:rPr>
      </w:pPr>
      <w:r>
        <w:rPr>
          <w:rFonts w:hint="eastAsia" w:asciiTheme="minorEastAsia" w:hAnsiTheme="minorEastAsia" w:eastAsiaTheme="minorEastAsia" w:cstheme="minorEastAsia"/>
          <w:b/>
          <w:bCs/>
          <w:i w:val="0"/>
          <w:caps w:val="0"/>
          <w:color w:val="333333"/>
          <w:spacing w:val="0"/>
          <w:sz w:val="28"/>
          <w:szCs w:val="28"/>
          <w:shd w:val="clear" w:fill="FFFFFF"/>
          <w:lang w:val="en-US" w:eastAsia="zh-CN"/>
        </w:rPr>
        <w:t>（六）重点绩效评价结果等预算绩效情况说明</w:t>
      </w:r>
    </w:p>
    <w:p>
      <w:pPr>
        <w:spacing w:line="440" w:lineRule="exact"/>
        <w:ind w:firstLine="560" w:firstLineChars="200"/>
        <w:rPr>
          <w:rFonts w:hint="default" w:asciiTheme="minorEastAsia" w:hAnsiTheme="minorEastAsia" w:eastAsiaTheme="minorEastAsia" w:cstheme="minorEastAsia"/>
          <w:b w:val="0"/>
          <w:i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本年未开展预算绩效评价工作</w:t>
      </w:r>
    </w:p>
    <w:p>
      <w:pPr>
        <w:spacing w:line="440" w:lineRule="exact"/>
        <w:ind w:firstLine="562" w:firstLineChars="200"/>
        <w:rPr>
          <w:rFonts w:hint="eastAsia" w:ascii="宋体" w:hAnsi="宋体"/>
          <w:b/>
          <w:color w:val="FF6600"/>
          <w:spacing w:val="2"/>
          <w:sz w:val="28"/>
          <w:szCs w:val="28"/>
        </w:rPr>
      </w:pPr>
      <w:r>
        <w:rPr>
          <w:rFonts w:hint="eastAsia" w:ascii="宋体" w:hAnsi="宋体" w:cs="宋体"/>
          <w:b/>
          <w:bCs/>
          <w:sz w:val="28"/>
          <w:szCs w:val="28"/>
          <w:lang w:val="en-US" w:eastAsia="zh-CN"/>
        </w:rPr>
        <w:t>（七）</w:t>
      </w:r>
      <w:r>
        <w:rPr>
          <w:rFonts w:hint="eastAsia" w:ascii="宋体" w:hAnsi="宋体"/>
          <w:b/>
          <w:spacing w:val="2"/>
          <w:sz w:val="28"/>
          <w:szCs w:val="28"/>
        </w:rPr>
        <w:t>决算收支增减变化情况</w:t>
      </w:r>
    </w:p>
    <w:p>
      <w:pPr>
        <w:spacing w:line="440" w:lineRule="exact"/>
        <w:ind w:firstLine="568" w:firstLineChars="200"/>
        <w:rPr>
          <w:rFonts w:hint="eastAsia" w:ascii="宋体" w:hAnsi="宋体"/>
          <w:spacing w:val="2"/>
          <w:sz w:val="28"/>
          <w:szCs w:val="28"/>
        </w:rPr>
      </w:pPr>
      <w:r>
        <w:rPr>
          <w:rFonts w:hint="eastAsia" w:ascii="宋体" w:hAnsi="宋体"/>
          <w:spacing w:val="2"/>
          <w:sz w:val="28"/>
          <w:szCs w:val="28"/>
        </w:rPr>
        <w:t>1、收入增减变化情况</w:t>
      </w:r>
    </w:p>
    <w:p>
      <w:pPr>
        <w:snapToGrid w:val="0"/>
        <w:spacing w:line="520" w:lineRule="exact"/>
        <w:ind w:firstLine="568" w:firstLineChars="200"/>
        <w:rPr>
          <w:rFonts w:hint="eastAsia" w:ascii="仿宋_GB2312" w:hAnsi="仿宋_GB2312" w:eastAsia="仿宋_GB2312" w:cs="仿宋_GB2312"/>
          <w:color w:val="auto"/>
          <w:sz w:val="32"/>
          <w:szCs w:val="32"/>
          <w:lang w:eastAsia="zh-CN"/>
        </w:rPr>
      </w:pPr>
      <w:r>
        <w:rPr>
          <w:rFonts w:hint="eastAsia" w:ascii="宋体" w:hAnsi="宋体" w:eastAsia="宋体" w:cs="宋体"/>
          <w:spacing w:val="2"/>
          <w:sz w:val="28"/>
          <w:szCs w:val="28"/>
        </w:rPr>
        <w:t>20</w:t>
      </w:r>
      <w:r>
        <w:rPr>
          <w:rFonts w:hint="eastAsia" w:ascii="宋体" w:hAnsi="宋体" w:eastAsia="宋体" w:cs="宋体"/>
          <w:spacing w:val="2"/>
          <w:sz w:val="28"/>
          <w:szCs w:val="28"/>
          <w:lang w:val="en-US" w:eastAsia="zh-CN"/>
        </w:rPr>
        <w:t>20</w:t>
      </w:r>
      <w:r>
        <w:rPr>
          <w:rFonts w:hint="eastAsia" w:ascii="宋体" w:hAnsi="宋体" w:eastAsia="宋体" w:cs="宋体"/>
          <w:spacing w:val="2"/>
          <w:sz w:val="28"/>
          <w:szCs w:val="28"/>
        </w:rPr>
        <w:t>年全年总收入</w:t>
      </w:r>
      <w:r>
        <w:rPr>
          <w:rFonts w:hint="eastAsia" w:ascii="宋体" w:hAnsi="宋体" w:eastAsia="宋体" w:cs="宋体"/>
          <w:spacing w:val="2"/>
          <w:sz w:val="28"/>
          <w:szCs w:val="28"/>
          <w:lang w:val="en-US" w:eastAsia="zh-CN"/>
        </w:rPr>
        <w:t>103.86万</w:t>
      </w:r>
      <w:r>
        <w:rPr>
          <w:rFonts w:hint="eastAsia" w:ascii="宋体" w:hAnsi="宋体" w:eastAsia="宋体" w:cs="宋体"/>
          <w:spacing w:val="2"/>
          <w:sz w:val="28"/>
          <w:szCs w:val="28"/>
        </w:rPr>
        <w:t>元,202</w:t>
      </w:r>
      <w:r>
        <w:rPr>
          <w:rFonts w:hint="eastAsia" w:ascii="宋体" w:hAnsi="宋体" w:eastAsia="宋体" w:cs="宋体"/>
          <w:spacing w:val="2"/>
          <w:sz w:val="28"/>
          <w:szCs w:val="28"/>
          <w:lang w:val="en-US" w:eastAsia="zh-CN"/>
        </w:rPr>
        <w:t>1</w:t>
      </w:r>
      <w:r>
        <w:rPr>
          <w:rFonts w:hint="eastAsia" w:ascii="宋体" w:hAnsi="宋体" w:eastAsia="宋体" w:cs="宋体"/>
          <w:spacing w:val="2"/>
          <w:sz w:val="28"/>
          <w:szCs w:val="28"/>
        </w:rPr>
        <w:t>年全年总收入</w:t>
      </w:r>
      <w:r>
        <w:rPr>
          <w:rFonts w:hint="eastAsia" w:ascii="宋体" w:hAnsi="宋体" w:eastAsia="宋体" w:cs="宋体"/>
          <w:spacing w:val="2"/>
          <w:sz w:val="28"/>
          <w:szCs w:val="28"/>
          <w:lang w:val="en-US" w:eastAsia="zh-CN"/>
        </w:rPr>
        <w:t>139.11万</w:t>
      </w:r>
      <w:r>
        <w:rPr>
          <w:rFonts w:hint="eastAsia" w:ascii="宋体" w:hAnsi="宋体" w:eastAsia="宋体" w:cs="宋体"/>
          <w:spacing w:val="2"/>
          <w:sz w:val="28"/>
          <w:szCs w:val="28"/>
        </w:rPr>
        <w:t>元，同比上年</w:t>
      </w:r>
      <w:r>
        <w:rPr>
          <w:rFonts w:hint="eastAsia" w:ascii="宋体" w:hAnsi="宋体" w:eastAsia="宋体" w:cs="宋体"/>
          <w:spacing w:val="2"/>
          <w:sz w:val="28"/>
          <w:szCs w:val="28"/>
          <w:lang w:eastAsia="zh-CN"/>
        </w:rPr>
        <w:t>增加</w:t>
      </w:r>
      <w:r>
        <w:rPr>
          <w:rFonts w:hint="eastAsia" w:ascii="宋体" w:hAnsi="宋体" w:eastAsia="宋体" w:cs="宋体"/>
          <w:spacing w:val="2"/>
          <w:sz w:val="28"/>
          <w:szCs w:val="28"/>
          <w:lang w:val="en-US" w:eastAsia="zh-CN"/>
        </w:rPr>
        <w:t>35.25万</w:t>
      </w:r>
      <w:r>
        <w:rPr>
          <w:rFonts w:hint="eastAsia" w:ascii="宋体" w:hAnsi="宋体" w:eastAsia="宋体" w:cs="宋体"/>
          <w:spacing w:val="2"/>
          <w:sz w:val="28"/>
          <w:szCs w:val="28"/>
        </w:rPr>
        <w:t>元，</w:t>
      </w:r>
      <w:r>
        <w:rPr>
          <w:rFonts w:hint="eastAsia" w:ascii="宋体" w:hAnsi="宋体" w:eastAsia="宋体" w:cs="宋体"/>
          <w:spacing w:val="2"/>
          <w:sz w:val="28"/>
          <w:szCs w:val="28"/>
          <w:lang w:eastAsia="zh-CN"/>
        </w:rPr>
        <w:t>增</w:t>
      </w:r>
      <w:r>
        <w:rPr>
          <w:rFonts w:hint="eastAsia" w:ascii="宋体" w:hAnsi="宋体" w:eastAsia="宋体" w:cs="宋体"/>
          <w:spacing w:val="2"/>
          <w:sz w:val="28"/>
          <w:szCs w:val="28"/>
        </w:rPr>
        <w:t>幅为</w:t>
      </w:r>
      <w:r>
        <w:rPr>
          <w:rFonts w:hint="eastAsia" w:ascii="宋体" w:hAnsi="宋体" w:eastAsia="宋体" w:cs="宋体"/>
          <w:spacing w:val="2"/>
          <w:sz w:val="28"/>
          <w:szCs w:val="28"/>
          <w:lang w:val="en-US" w:eastAsia="zh-CN"/>
        </w:rPr>
        <w:t>33.94</w:t>
      </w:r>
      <w:r>
        <w:rPr>
          <w:rFonts w:hint="eastAsia" w:ascii="宋体" w:hAnsi="宋体" w:eastAsia="宋体" w:cs="宋体"/>
          <w:spacing w:val="2"/>
          <w:sz w:val="28"/>
          <w:szCs w:val="28"/>
        </w:rPr>
        <w:t>%，原因</w:t>
      </w:r>
      <w:r>
        <w:rPr>
          <w:rFonts w:hint="eastAsia" w:ascii="宋体" w:hAnsi="宋体" w:eastAsia="宋体" w:cs="宋体"/>
          <w:color w:val="auto"/>
          <w:sz w:val="28"/>
          <w:szCs w:val="28"/>
          <w:lang w:eastAsia="zh-CN"/>
        </w:rPr>
        <w:t>增长</w:t>
      </w:r>
      <w:r>
        <w:rPr>
          <w:rFonts w:hint="eastAsia" w:ascii="宋体" w:hAnsi="宋体" w:eastAsia="宋体" w:cs="宋体"/>
          <w:color w:val="auto"/>
          <w:sz w:val="28"/>
          <w:szCs w:val="28"/>
        </w:rPr>
        <w:t>的主要原因为</w:t>
      </w:r>
      <w:r>
        <w:rPr>
          <w:rFonts w:hint="eastAsia" w:ascii="宋体" w:hAnsi="宋体" w:eastAsia="宋体" w:cs="宋体"/>
          <w:color w:val="auto"/>
          <w:sz w:val="28"/>
          <w:szCs w:val="28"/>
          <w:lang w:eastAsia="zh-CN"/>
        </w:rPr>
        <w:t>本年</w:t>
      </w:r>
      <w:r>
        <w:rPr>
          <w:rFonts w:hint="eastAsia" w:ascii="仿宋_GB2312" w:hAnsi="仿宋" w:eastAsia="仿宋_GB2312"/>
          <w:color w:val="auto"/>
          <w:sz w:val="32"/>
          <w:szCs w:val="32"/>
          <w:lang w:eastAsia="zh-CN"/>
        </w:rPr>
        <w:t>人员工资调整及购置办公用固定资产及本年决算并入工商联数据。</w:t>
      </w:r>
    </w:p>
    <w:p>
      <w:pPr>
        <w:numPr>
          <w:ilvl w:val="0"/>
          <w:numId w:val="5"/>
        </w:numPr>
        <w:spacing w:line="440" w:lineRule="exact"/>
        <w:ind w:firstLine="568" w:firstLineChars="200"/>
        <w:rPr>
          <w:rFonts w:hint="eastAsia" w:ascii="宋体" w:hAnsi="宋体"/>
          <w:spacing w:val="2"/>
          <w:sz w:val="28"/>
          <w:szCs w:val="28"/>
        </w:rPr>
      </w:pPr>
      <w:r>
        <w:rPr>
          <w:rFonts w:hint="eastAsia" w:ascii="宋体" w:hAnsi="宋体"/>
          <w:spacing w:val="2"/>
          <w:sz w:val="28"/>
          <w:szCs w:val="28"/>
        </w:rPr>
        <w:t>支出增减变化情况</w:t>
      </w:r>
    </w:p>
    <w:p>
      <w:pPr>
        <w:snapToGrid w:val="0"/>
        <w:spacing w:line="520" w:lineRule="exact"/>
        <w:ind w:firstLine="568" w:firstLineChars="200"/>
        <w:rPr>
          <w:rFonts w:hint="eastAsia" w:ascii="仿宋_GB2312" w:hAnsi="仿宋_GB2312" w:eastAsia="仿宋_GB2312" w:cs="仿宋_GB2312"/>
          <w:color w:val="auto"/>
          <w:sz w:val="28"/>
          <w:szCs w:val="28"/>
          <w:lang w:eastAsia="zh-CN"/>
        </w:rPr>
      </w:pPr>
      <w:r>
        <w:rPr>
          <w:rFonts w:hint="eastAsia" w:ascii="宋体" w:hAnsi="宋体"/>
          <w:spacing w:val="2"/>
          <w:sz w:val="28"/>
          <w:szCs w:val="28"/>
        </w:rPr>
        <w:t>20</w:t>
      </w:r>
      <w:r>
        <w:rPr>
          <w:rFonts w:hint="eastAsia" w:ascii="宋体" w:hAnsi="宋体"/>
          <w:spacing w:val="2"/>
          <w:sz w:val="28"/>
          <w:szCs w:val="28"/>
          <w:lang w:val="en-US" w:eastAsia="zh-CN"/>
        </w:rPr>
        <w:t>20</w:t>
      </w:r>
      <w:r>
        <w:rPr>
          <w:rFonts w:hint="eastAsia" w:ascii="宋体" w:hAnsi="宋体"/>
          <w:spacing w:val="2"/>
          <w:sz w:val="28"/>
          <w:szCs w:val="28"/>
        </w:rPr>
        <w:t>年全年总</w:t>
      </w:r>
      <w:r>
        <w:rPr>
          <w:rFonts w:hint="eastAsia" w:ascii="宋体" w:hAnsi="宋体"/>
          <w:spacing w:val="2"/>
          <w:sz w:val="28"/>
          <w:szCs w:val="28"/>
          <w:lang w:eastAsia="zh-CN"/>
        </w:rPr>
        <w:t>支出</w:t>
      </w:r>
      <w:r>
        <w:rPr>
          <w:rFonts w:hint="eastAsia" w:ascii="宋体" w:hAnsi="宋体"/>
          <w:spacing w:val="2"/>
          <w:sz w:val="28"/>
          <w:szCs w:val="28"/>
          <w:lang w:val="en-US" w:eastAsia="zh-CN"/>
        </w:rPr>
        <w:t>103.86万</w:t>
      </w:r>
      <w:r>
        <w:rPr>
          <w:rFonts w:hint="eastAsia" w:ascii="宋体" w:hAnsi="宋体"/>
          <w:spacing w:val="2"/>
          <w:sz w:val="28"/>
          <w:szCs w:val="28"/>
        </w:rPr>
        <w:t>元,202</w:t>
      </w:r>
      <w:r>
        <w:rPr>
          <w:rFonts w:hint="eastAsia" w:ascii="宋体" w:hAnsi="宋体"/>
          <w:spacing w:val="2"/>
          <w:sz w:val="28"/>
          <w:szCs w:val="28"/>
          <w:lang w:val="en-US" w:eastAsia="zh-CN"/>
        </w:rPr>
        <w:t>1</w:t>
      </w:r>
      <w:r>
        <w:rPr>
          <w:rFonts w:hint="eastAsia" w:ascii="宋体" w:hAnsi="宋体"/>
          <w:spacing w:val="2"/>
          <w:sz w:val="28"/>
          <w:szCs w:val="28"/>
        </w:rPr>
        <w:t>年全年总收入</w:t>
      </w:r>
      <w:r>
        <w:rPr>
          <w:rFonts w:hint="eastAsia" w:ascii="宋体" w:hAnsi="宋体"/>
          <w:spacing w:val="2"/>
          <w:sz w:val="28"/>
          <w:szCs w:val="28"/>
          <w:lang w:val="en-US" w:eastAsia="zh-CN"/>
        </w:rPr>
        <w:t>139.11万</w:t>
      </w:r>
      <w:r>
        <w:rPr>
          <w:rFonts w:hint="eastAsia" w:ascii="宋体" w:hAnsi="宋体"/>
          <w:spacing w:val="2"/>
          <w:sz w:val="28"/>
          <w:szCs w:val="28"/>
        </w:rPr>
        <w:t>元，同比上年</w:t>
      </w:r>
      <w:r>
        <w:rPr>
          <w:rFonts w:hint="eastAsia" w:ascii="宋体" w:hAnsi="宋体"/>
          <w:spacing w:val="2"/>
          <w:sz w:val="28"/>
          <w:szCs w:val="28"/>
          <w:lang w:eastAsia="zh-CN"/>
        </w:rPr>
        <w:t>增加</w:t>
      </w:r>
      <w:r>
        <w:rPr>
          <w:rFonts w:hint="eastAsia" w:ascii="宋体" w:hAnsi="宋体"/>
          <w:spacing w:val="2"/>
          <w:sz w:val="28"/>
          <w:szCs w:val="28"/>
          <w:lang w:val="en-US" w:eastAsia="zh-CN"/>
        </w:rPr>
        <w:t>35.25万</w:t>
      </w:r>
      <w:r>
        <w:rPr>
          <w:rFonts w:hint="eastAsia" w:ascii="宋体" w:hAnsi="宋体"/>
          <w:spacing w:val="2"/>
          <w:sz w:val="28"/>
          <w:szCs w:val="28"/>
        </w:rPr>
        <w:t>元，</w:t>
      </w:r>
      <w:r>
        <w:rPr>
          <w:rFonts w:hint="eastAsia" w:ascii="宋体" w:hAnsi="宋体"/>
          <w:spacing w:val="2"/>
          <w:sz w:val="28"/>
          <w:szCs w:val="28"/>
          <w:lang w:eastAsia="zh-CN"/>
        </w:rPr>
        <w:t>增</w:t>
      </w:r>
      <w:r>
        <w:rPr>
          <w:rFonts w:hint="eastAsia" w:ascii="宋体" w:hAnsi="宋体"/>
          <w:spacing w:val="2"/>
          <w:sz w:val="28"/>
          <w:szCs w:val="28"/>
        </w:rPr>
        <w:t>幅为</w:t>
      </w:r>
      <w:r>
        <w:rPr>
          <w:rFonts w:hint="eastAsia" w:ascii="宋体" w:hAnsi="宋体"/>
          <w:spacing w:val="2"/>
          <w:sz w:val="28"/>
          <w:szCs w:val="28"/>
          <w:lang w:val="en-US" w:eastAsia="zh-CN"/>
        </w:rPr>
        <w:t>33.94</w:t>
      </w:r>
      <w:r>
        <w:rPr>
          <w:rFonts w:hint="eastAsia" w:ascii="宋体" w:hAnsi="宋体"/>
          <w:spacing w:val="2"/>
          <w:sz w:val="28"/>
          <w:szCs w:val="28"/>
        </w:rPr>
        <w:t>%，原因</w:t>
      </w:r>
      <w:r>
        <w:rPr>
          <w:rFonts w:hint="eastAsia" w:ascii="仿宋_GB2312" w:hAnsi="仿宋" w:eastAsia="仿宋_GB2312"/>
          <w:color w:val="auto"/>
          <w:sz w:val="28"/>
          <w:szCs w:val="28"/>
          <w:lang w:eastAsia="zh-CN"/>
        </w:rPr>
        <w:t>增长</w:t>
      </w:r>
      <w:r>
        <w:rPr>
          <w:rFonts w:hint="eastAsia" w:ascii="仿宋_GB2312" w:hAnsi="仿宋" w:eastAsia="仿宋_GB2312"/>
          <w:color w:val="auto"/>
          <w:sz w:val="28"/>
          <w:szCs w:val="28"/>
        </w:rPr>
        <w:t>的主要原因为</w:t>
      </w:r>
      <w:r>
        <w:rPr>
          <w:rFonts w:hint="eastAsia" w:ascii="仿宋_GB2312" w:hAnsi="仿宋" w:eastAsia="仿宋_GB2312"/>
          <w:color w:val="auto"/>
          <w:sz w:val="28"/>
          <w:szCs w:val="28"/>
          <w:lang w:eastAsia="zh-CN"/>
        </w:rPr>
        <w:t>本年人员工资调整及购置办公用固定资产及本年决算并入工商联数据。</w:t>
      </w:r>
    </w:p>
    <w:p>
      <w:pPr>
        <w:numPr>
          <w:ilvl w:val="0"/>
          <w:numId w:val="0"/>
        </w:numPr>
        <w:spacing w:line="440" w:lineRule="exact"/>
        <w:ind w:firstLine="568" w:firstLineChars="200"/>
        <w:rPr>
          <w:rFonts w:hint="eastAsia" w:ascii="宋体" w:hAnsi="宋体"/>
          <w:spacing w:val="2"/>
          <w:sz w:val="28"/>
          <w:szCs w:val="28"/>
        </w:rPr>
      </w:pPr>
    </w:p>
    <w:p>
      <w:pPr>
        <w:rPr>
          <w:rStyle w:val="6"/>
          <w:rFonts w:hint="eastAsia" w:ascii="微软雅黑" w:hAnsi="微软雅黑" w:eastAsia="微软雅黑" w:cs="微软雅黑"/>
          <w:i w:val="0"/>
          <w:caps w:val="0"/>
          <w:color w:val="333333"/>
          <w:spacing w:val="0"/>
          <w:sz w:val="24"/>
          <w:szCs w:val="24"/>
          <w:shd w:val="clear" w:fill="FFFFFF"/>
        </w:rPr>
      </w:pPr>
      <w:r>
        <w:rPr>
          <w:rStyle w:val="6"/>
          <w:rFonts w:hint="eastAsia" w:ascii="微软雅黑" w:hAnsi="微软雅黑" w:eastAsia="微软雅黑" w:cs="微软雅黑"/>
          <w:i w:val="0"/>
          <w:caps w:val="0"/>
          <w:color w:val="333333"/>
          <w:spacing w:val="0"/>
          <w:sz w:val="24"/>
          <w:szCs w:val="24"/>
          <w:shd w:val="clear" w:fill="FFFFFF"/>
        </w:rPr>
        <w:br w:type="page"/>
      </w:r>
    </w:p>
    <w:p>
      <w:pPr>
        <w:numPr>
          <w:ilvl w:val="0"/>
          <w:numId w:val="0"/>
        </w:numPr>
        <w:spacing w:line="440" w:lineRule="exact"/>
        <w:ind w:firstLine="480" w:firstLineChars="200"/>
        <w:rPr>
          <w:color w:val="333333"/>
          <w:sz w:val="24"/>
          <w:szCs w:val="24"/>
        </w:rPr>
      </w:pPr>
      <w:r>
        <w:rPr>
          <w:rStyle w:val="6"/>
          <w:rFonts w:hint="eastAsia" w:ascii="微软雅黑" w:hAnsi="微软雅黑" w:eastAsia="微软雅黑" w:cs="微软雅黑"/>
          <w:i w:val="0"/>
          <w:caps w:val="0"/>
          <w:color w:val="333333"/>
          <w:spacing w:val="0"/>
          <w:sz w:val="24"/>
          <w:szCs w:val="24"/>
          <w:shd w:val="clear" w:fill="FFFFFF"/>
        </w:rPr>
        <w:t>第四部分</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6"/>
          <w:rFonts w:hint="eastAsia" w:ascii="微软雅黑" w:hAnsi="微软雅黑" w:eastAsia="微软雅黑" w:cs="微软雅黑"/>
          <w:i w:val="0"/>
          <w:caps w:val="0"/>
          <w:color w:val="333333"/>
          <w:spacing w:val="0"/>
          <w:sz w:val="24"/>
          <w:szCs w:val="24"/>
          <w:shd w:val="clear" w:fill="FFFFFF"/>
        </w:rPr>
        <w:t>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一、财政补助收入：指县级财政当年拨付的资金。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二、其他收入：指除“财政拨款收入”、“上级补助收入”、“事业收入”、“经营收入”等以外的收入。主要是存款利息收入等。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三、年初结转和结余：指以前年度尚未完成、结转到本年按有关规定继续使用的资金。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四、一般公共服务（类）行政运行（项）：指县行政单位及参照公务员管理事业单位用于保障机构正常运行、开展日常工作的基本支出。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五、一般公共服务（类）一般行政管理事务（项）：指县行政单位及参照公务员管理事业单位用于开展立法调研、财政信息宣传、非税收入征管等未单独设置项级科目的专门性财政管理工作的项目支出。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六、一般公共服务（类）机关服务（项）：指县</w:t>
      </w:r>
      <w:r>
        <w:rPr>
          <w:rFonts w:hint="eastAsia" w:asciiTheme="minorEastAsia" w:hAnsiTheme="minorEastAsia" w:eastAsiaTheme="minorEastAsia" w:cstheme="minorEastAsia"/>
          <w:b w:val="0"/>
          <w:i w:val="0"/>
          <w:caps w:val="0"/>
          <w:color w:val="333333"/>
          <w:spacing w:val="0"/>
          <w:sz w:val="28"/>
          <w:szCs w:val="28"/>
          <w:shd w:val="clear" w:fill="FFFFFF"/>
          <w:lang w:eastAsia="zh-CN"/>
        </w:rPr>
        <w:t>黄石港区委统战部</w:t>
      </w:r>
      <w:r>
        <w:rPr>
          <w:rFonts w:hint="eastAsia" w:asciiTheme="minorEastAsia" w:hAnsiTheme="minorEastAsia" w:eastAsiaTheme="minorEastAsia" w:cstheme="minorEastAsia"/>
          <w:b w:val="0"/>
          <w:i w:val="0"/>
          <w:caps w:val="0"/>
          <w:color w:val="333333"/>
          <w:spacing w:val="0"/>
          <w:sz w:val="28"/>
          <w:szCs w:val="28"/>
          <w:shd w:val="clear" w:fill="FFFFFF"/>
        </w:rPr>
        <w:t>为机关提供办公楼日常维修、维护等后勤保障服务的支出。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七、一般公共服务（类）其他一般公共服务支出（款）其他一般公共服务支出（项）：指</w:t>
      </w:r>
      <w:r>
        <w:rPr>
          <w:rFonts w:hint="eastAsia" w:asciiTheme="minorEastAsia" w:hAnsiTheme="minorEastAsia" w:eastAsiaTheme="minorEastAsia" w:cstheme="minorEastAsia"/>
          <w:b w:val="0"/>
          <w:i w:val="0"/>
          <w:caps w:val="0"/>
          <w:color w:val="333333"/>
          <w:spacing w:val="0"/>
          <w:sz w:val="28"/>
          <w:szCs w:val="28"/>
          <w:shd w:val="clear" w:fill="FFFFFF"/>
          <w:lang w:eastAsia="zh-CN"/>
        </w:rPr>
        <w:t>黄石港区委统战部</w:t>
      </w:r>
      <w:r>
        <w:rPr>
          <w:rFonts w:hint="eastAsia" w:asciiTheme="minorEastAsia" w:hAnsiTheme="minorEastAsia" w:eastAsiaTheme="minorEastAsia" w:cstheme="minorEastAsia"/>
          <w:b w:val="0"/>
          <w:i w:val="0"/>
          <w:caps w:val="0"/>
          <w:color w:val="333333"/>
          <w:spacing w:val="0"/>
          <w:sz w:val="28"/>
          <w:szCs w:val="28"/>
          <w:shd w:val="clear" w:fill="FFFFFF"/>
        </w:rPr>
        <w:t>用于其他一般公共服务方面的支出。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八、教育（类）普通教育（款）高等教育（项）：指</w:t>
      </w:r>
      <w:r>
        <w:rPr>
          <w:rFonts w:hint="eastAsia" w:asciiTheme="minorEastAsia" w:hAnsiTheme="minorEastAsia" w:eastAsiaTheme="minorEastAsia" w:cstheme="minorEastAsia"/>
          <w:b w:val="0"/>
          <w:i w:val="0"/>
          <w:caps w:val="0"/>
          <w:color w:val="333333"/>
          <w:spacing w:val="0"/>
          <w:sz w:val="28"/>
          <w:szCs w:val="28"/>
          <w:shd w:val="clear" w:fill="FFFFFF"/>
          <w:lang w:eastAsia="zh-CN"/>
        </w:rPr>
        <w:t>黄石港区委统战部</w:t>
      </w:r>
      <w:r>
        <w:rPr>
          <w:rFonts w:hint="eastAsia" w:asciiTheme="minorEastAsia" w:hAnsiTheme="minorEastAsia" w:eastAsiaTheme="minorEastAsia" w:cstheme="minorEastAsia"/>
          <w:b w:val="0"/>
          <w:i w:val="0"/>
          <w:caps w:val="0"/>
          <w:color w:val="333333"/>
          <w:spacing w:val="0"/>
          <w:sz w:val="28"/>
          <w:szCs w:val="28"/>
          <w:shd w:val="clear" w:fill="FFFFFF"/>
        </w:rPr>
        <w:t>支持地方高校的重点发展和特色办学，组织专家对省属院校申报的建设规划和项目预算进行评审等相关工作的支出。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九、社会保障和就业(类)行政事业单位离退休（款）归口管理的行政单位离退休（项）：指</w:t>
      </w:r>
      <w:r>
        <w:rPr>
          <w:rFonts w:hint="eastAsia" w:asciiTheme="minorEastAsia" w:hAnsiTheme="minorEastAsia" w:eastAsiaTheme="minorEastAsia" w:cstheme="minorEastAsia"/>
          <w:b w:val="0"/>
          <w:i w:val="0"/>
          <w:caps w:val="0"/>
          <w:color w:val="333333"/>
          <w:spacing w:val="0"/>
          <w:sz w:val="28"/>
          <w:szCs w:val="28"/>
          <w:shd w:val="clear" w:fill="FFFFFF"/>
          <w:lang w:eastAsia="zh-CN"/>
        </w:rPr>
        <w:t>黄石港区委统战部</w:t>
      </w:r>
      <w:r>
        <w:rPr>
          <w:rFonts w:hint="eastAsia" w:asciiTheme="minorEastAsia" w:hAnsiTheme="minorEastAsia" w:eastAsiaTheme="minorEastAsia" w:cstheme="minorEastAsia"/>
          <w:b w:val="0"/>
          <w:i w:val="0"/>
          <w:caps w:val="0"/>
          <w:color w:val="333333"/>
          <w:spacing w:val="0"/>
          <w:sz w:val="28"/>
          <w:szCs w:val="28"/>
          <w:shd w:val="clear" w:fill="FFFFFF"/>
        </w:rPr>
        <w:t>用于离退休人员的支出、退休人员支出，以及提供管理服务工作的离退休干部处的支出。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十、社会保障和就业(类)行政事业单位离退休（款）其他行政事业单位离退休支出（项）：指</w:t>
      </w:r>
      <w:r>
        <w:rPr>
          <w:rFonts w:hint="eastAsia" w:asciiTheme="minorEastAsia" w:hAnsiTheme="minorEastAsia" w:eastAsiaTheme="minorEastAsia" w:cstheme="minorEastAsia"/>
          <w:b w:val="0"/>
          <w:i w:val="0"/>
          <w:caps w:val="0"/>
          <w:color w:val="333333"/>
          <w:spacing w:val="0"/>
          <w:sz w:val="28"/>
          <w:szCs w:val="28"/>
          <w:shd w:val="clear" w:fill="FFFFFF"/>
          <w:lang w:eastAsia="zh-CN"/>
        </w:rPr>
        <w:t>黄石港区委统战部</w:t>
      </w:r>
      <w:r>
        <w:rPr>
          <w:rFonts w:hint="eastAsia" w:asciiTheme="minorEastAsia" w:hAnsiTheme="minorEastAsia" w:eastAsiaTheme="minorEastAsia" w:cstheme="minorEastAsia"/>
          <w:b w:val="0"/>
          <w:i w:val="0"/>
          <w:caps w:val="0"/>
          <w:color w:val="333333"/>
          <w:spacing w:val="0"/>
          <w:sz w:val="28"/>
          <w:szCs w:val="28"/>
          <w:shd w:val="clear" w:fill="FFFFFF"/>
        </w:rPr>
        <w:t>用于离退休方面的其他支出。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十一、医疗卫生与计划生育（类）医疗保障（款）行政单位医疗（项）：指</w:t>
      </w:r>
      <w:r>
        <w:rPr>
          <w:rFonts w:hint="eastAsia" w:asciiTheme="minorEastAsia" w:hAnsiTheme="minorEastAsia" w:eastAsiaTheme="minorEastAsia" w:cstheme="minorEastAsia"/>
          <w:b w:val="0"/>
          <w:i w:val="0"/>
          <w:caps w:val="0"/>
          <w:color w:val="333333"/>
          <w:spacing w:val="0"/>
          <w:sz w:val="28"/>
          <w:szCs w:val="28"/>
          <w:shd w:val="clear" w:fill="FFFFFF"/>
          <w:lang w:eastAsia="zh-CN"/>
        </w:rPr>
        <w:t>黄石港区委统战部</w:t>
      </w:r>
      <w:r>
        <w:rPr>
          <w:rFonts w:hint="eastAsia" w:asciiTheme="minorEastAsia" w:hAnsiTheme="minorEastAsia" w:eastAsiaTheme="minorEastAsia" w:cstheme="minorEastAsia"/>
          <w:b w:val="0"/>
          <w:i w:val="0"/>
          <w:caps w:val="0"/>
          <w:color w:val="333333"/>
          <w:spacing w:val="0"/>
          <w:sz w:val="28"/>
          <w:szCs w:val="28"/>
          <w:shd w:val="clear" w:fill="FFFFFF"/>
        </w:rPr>
        <w:t>用于机关干部职工及离退休人员医疗方面的支出。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十二、住房保障（类）住房改革支出（款）购房补贴（项）：指按照相关住房分配货币化改革的政策规定和标准，对无房和住房未达标职工发放的住房分配货币化补贴资金。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十三、年末结转和结余：指本年度或以前年度预算安排、因客观条件发生变化无法按原计划实施，需要延迟到以后年度按有关规定继续使用的资金。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十四、基本支出：指为保障机构正常运转、完成日常工作任务而发生的人员支出（包括基本工资、津贴补贴等）和公用支出（包括办公费、水电费、邮电费、交通费、差旅费等）。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十五、项目支出：指在基本支出之外为完成特定行政任务和事业发展目标所发生的支出。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十六、“三公”经费：是指用财政拨款安排的因公出国（境）费、公务用车购置及运行维护费、公务接待费。</w:t>
      </w:r>
    </w:p>
    <w:p>
      <w:pPr>
        <w:rPr>
          <w:rFonts w:hint="eastAsia"/>
        </w:rPr>
      </w:pPr>
    </w:p>
    <w:p>
      <w:pPr>
        <w:rPr>
          <w:rFonts w:hint="eastAsia"/>
        </w:rPr>
      </w:pPr>
    </w:p>
    <w:sectPr>
      <w:pgSz w:w="16838" w:h="11906" w:orient="landscape"/>
      <w:pgMar w:top="1134" w:right="1134" w:bottom="567" w:left="1440" w:header="851" w:footer="992" w:gutter="0"/>
      <w:pgBorders>
        <w:top w:val="none" w:sz="0" w:space="0"/>
        <w:left w:val="none" w:sz="0" w:space="0"/>
        <w:bottom w:val="none" w:sz="0" w:space="0"/>
        <w:right w:val="none" w:sz="0" w:space="0"/>
      </w:pgBorders>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0525B"/>
    <w:multiLevelType w:val="singleLevel"/>
    <w:tmpl w:val="97B0525B"/>
    <w:lvl w:ilvl="0" w:tentative="0">
      <w:start w:val="3"/>
      <w:numFmt w:val="chineseCounting"/>
      <w:suff w:val="nothing"/>
      <w:lvlText w:val="（%1）"/>
      <w:lvlJc w:val="left"/>
      <w:rPr>
        <w:rFonts w:hint="eastAsia"/>
      </w:rPr>
    </w:lvl>
  </w:abstractNum>
  <w:abstractNum w:abstractNumId="1">
    <w:nsid w:val="AA908217"/>
    <w:multiLevelType w:val="singleLevel"/>
    <w:tmpl w:val="AA908217"/>
    <w:lvl w:ilvl="0" w:tentative="0">
      <w:start w:val="2"/>
      <w:numFmt w:val="decimal"/>
      <w:suff w:val="nothing"/>
      <w:lvlText w:val="%1、"/>
      <w:lvlJc w:val="left"/>
    </w:lvl>
  </w:abstractNum>
  <w:abstractNum w:abstractNumId="2">
    <w:nsid w:val="E543196A"/>
    <w:multiLevelType w:val="singleLevel"/>
    <w:tmpl w:val="E543196A"/>
    <w:lvl w:ilvl="0" w:tentative="0">
      <w:start w:val="2"/>
      <w:numFmt w:val="chineseCounting"/>
      <w:suff w:val="space"/>
      <w:lvlText w:val="第%1部分"/>
      <w:lvlJc w:val="left"/>
      <w:rPr>
        <w:rFonts w:hint="eastAsia"/>
      </w:rPr>
    </w:lvl>
  </w:abstractNum>
  <w:abstractNum w:abstractNumId="3">
    <w:nsid w:val="EC802125"/>
    <w:multiLevelType w:val="singleLevel"/>
    <w:tmpl w:val="EC802125"/>
    <w:lvl w:ilvl="0" w:tentative="0">
      <w:start w:val="3"/>
      <w:numFmt w:val="chineseCounting"/>
      <w:suff w:val="space"/>
      <w:lvlText w:val="第%1部分"/>
      <w:lvlJc w:val="left"/>
      <w:rPr>
        <w:rFonts w:hint="eastAsia"/>
      </w:rPr>
    </w:lvl>
  </w:abstractNum>
  <w:abstractNum w:abstractNumId="4">
    <w:nsid w:val="45A9FF21"/>
    <w:multiLevelType w:val="singleLevel"/>
    <w:tmpl w:val="45A9FF21"/>
    <w:lvl w:ilvl="0" w:tentative="0">
      <w:start w:val="1"/>
      <w:numFmt w:val="decimal"/>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5ACE2E59"/>
    <w:rsid w:val="01796184"/>
    <w:rsid w:val="03542749"/>
    <w:rsid w:val="068A59F5"/>
    <w:rsid w:val="09BE1345"/>
    <w:rsid w:val="09FD1073"/>
    <w:rsid w:val="0A445AD0"/>
    <w:rsid w:val="0B3E79EC"/>
    <w:rsid w:val="0BB16DBC"/>
    <w:rsid w:val="0BE61F9E"/>
    <w:rsid w:val="0C221F56"/>
    <w:rsid w:val="0E6C59E8"/>
    <w:rsid w:val="13EE6189"/>
    <w:rsid w:val="155C2D09"/>
    <w:rsid w:val="1A7273CF"/>
    <w:rsid w:val="1B0F040E"/>
    <w:rsid w:val="1C904D09"/>
    <w:rsid w:val="1EC65E12"/>
    <w:rsid w:val="1EF927B1"/>
    <w:rsid w:val="212C79E0"/>
    <w:rsid w:val="21A10756"/>
    <w:rsid w:val="246D53C7"/>
    <w:rsid w:val="27022EAC"/>
    <w:rsid w:val="2ADE5987"/>
    <w:rsid w:val="2D2D40CE"/>
    <w:rsid w:val="308848DA"/>
    <w:rsid w:val="32CD09A2"/>
    <w:rsid w:val="359A0E89"/>
    <w:rsid w:val="361F3C4D"/>
    <w:rsid w:val="37354323"/>
    <w:rsid w:val="38860564"/>
    <w:rsid w:val="394547C6"/>
    <w:rsid w:val="395C4346"/>
    <w:rsid w:val="3A1E3719"/>
    <w:rsid w:val="3A2D0398"/>
    <w:rsid w:val="3B3D6F2F"/>
    <w:rsid w:val="3BEE408B"/>
    <w:rsid w:val="3E282439"/>
    <w:rsid w:val="417667AD"/>
    <w:rsid w:val="42287B3A"/>
    <w:rsid w:val="43C65E07"/>
    <w:rsid w:val="45105372"/>
    <w:rsid w:val="473F5453"/>
    <w:rsid w:val="474F6F98"/>
    <w:rsid w:val="49991CA4"/>
    <w:rsid w:val="4CCA5C65"/>
    <w:rsid w:val="4CD131A4"/>
    <w:rsid w:val="4CF91627"/>
    <w:rsid w:val="4F880D64"/>
    <w:rsid w:val="52E95918"/>
    <w:rsid w:val="54260C9F"/>
    <w:rsid w:val="54DE5D19"/>
    <w:rsid w:val="54DF5B62"/>
    <w:rsid w:val="563B3094"/>
    <w:rsid w:val="56933F97"/>
    <w:rsid w:val="5A42644A"/>
    <w:rsid w:val="5AA45117"/>
    <w:rsid w:val="5ACE2E59"/>
    <w:rsid w:val="5D4B28F4"/>
    <w:rsid w:val="5F87474B"/>
    <w:rsid w:val="5FAC7728"/>
    <w:rsid w:val="604055A3"/>
    <w:rsid w:val="6269296B"/>
    <w:rsid w:val="62FF488C"/>
    <w:rsid w:val="63D60970"/>
    <w:rsid w:val="660F1D07"/>
    <w:rsid w:val="66C9699B"/>
    <w:rsid w:val="68B20E7F"/>
    <w:rsid w:val="68F36FC0"/>
    <w:rsid w:val="69FE52AE"/>
    <w:rsid w:val="6AB94DFC"/>
    <w:rsid w:val="6AE241A2"/>
    <w:rsid w:val="6BE0438F"/>
    <w:rsid w:val="6CD77EA0"/>
    <w:rsid w:val="6CFB6AFD"/>
    <w:rsid w:val="6F626137"/>
    <w:rsid w:val="6FEB6E4D"/>
    <w:rsid w:val="6FED0C5A"/>
    <w:rsid w:val="70F1392F"/>
    <w:rsid w:val="72E6688F"/>
    <w:rsid w:val="72EE17BA"/>
    <w:rsid w:val="74694D18"/>
    <w:rsid w:val="754B60BA"/>
    <w:rsid w:val="758C3477"/>
    <w:rsid w:val="77D1608F"/>
    <w:rsid w:val="7A2932FF"/>
    <w:rsid w:val="7B696E59"/>
    <w:rsid w:val="7D8A0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5"/>
    <w:basedOn w:val="1"/>
    <w:next w:val="1"/>
    <w:qFormat/>
    <w:uiPriority w:val="99"/>
    <w:pPr>
      <w:spacing w:beforeAutospacing="1" w:afterAutospacing="1"/>
      <w:jc w:val="left"/>
      <w:outlineLvl w:val="4"/>
    </w:pPr>
    <w:rPr>
      <w:rFonts w:ascii="宋体" w:hAnsi="宋体"/>
      <w:b/>
      <w:kern w:val="0"/>
      <w:sz w:val="20"/>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ca-2"/>
    <w:basedOn w:val="5"/>
    <w:qFormat/>
    <w:uiPriority w:val="0"/>
  </w:style>
  <w:style w:type="character" w:customStyle="1" w:styleId="8">
    <w:name w:val="ca-3"/>
    <w:basedOn w:val="5"/>
    <w:qFormat/>
    <w:uiPriority w:val="0"/>
  </w:style>
  <w:style w:type="paragraph" w:customStyle="1" w:styleId="9">
    <w:name w:val="正文缩进 + 首行缩进:  2 字符"/>
    <w:basedOn w:val="1"/>
    <w:qFormat/>
    <w:uiPriority w:val="0"/>
    <w:pPr>
      <w:spacing w:line="560" w:lineRule="exact"/>
      <w:ind w:firstLine="640"/>
    </w:pPr>
    <w:rPr>
      <w:rFonts w:ascii="仿宋" w:hAnsi="仿宋" w:eastAsia="仿宋" w:cs="宋体"/>
      <w:sz w:val="32"/>
      <w:szCs w:val="20"/>
    </w:rPr>
  </w:style>
  <w:style w:type="paragraph" w:styleId="10">
    <w:name w:val="List Paragraph"/>
    <w:basedOn w:val="1"/>
    <w:unhideWhenUsed/>
    <w:qFormat/>
    <w:uiPriority w:val="99"/>
    <w:pPr>
      <w:ind w:firstLine="420" w:firstLineChars="200"/>
    </w:pPr>
  </w:style>
  <w:style w:type="paragraph" w:customStyle="1" w:styleId="11">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5000</Words>
  <Characters>5531</Characters>
  <Lines>0</Lines>
  <Paragraphs>0</Paragraphs>
  <TotalTime>4</TotalTime>
  <ScaleCrop>false</ScaleCrop>
  <LinksUpToDate>false</LinksUpToDate>
  <CharactersWithSpaces>5539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2019-09-04T06:13:00Z</dcterms:created>
  <dc:creator>米</dc:creator>
  <cp:lastModifiedBy>南有乔木</cp:lastModifiedBy>
  <cp:lastPrinted>2021-09-02T00:37:00Z</cp:lastPrinted>
  <dcterms:modified xsi:type="dcterms:W3CDTF">2023-09-20T02:49:48Z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03CF8251166B473CAF710152EE058CD1</vt:lpwstr>
  </property>
</Properties>
</file>