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r>
        <w:rPr>
          <w:rFonts w:hint="eastAsia" w:ascii="微软雅黑" w:hAnsi="微软雅黑" w:eastAsia="微软雅黑" w:cs="微软雅黑"/>
          <w:b/>
          <w:i w:val="0"/>
          <w:caps w:val="0"/>
          <w:color w:val="BC1010"/>
          <w:spacing w:val="0"/>
          <w:sz w:val="40"/>
          <w:szCs w:val="40"/>
          <w:shd w:val="clear" w:fill="FFFFFF"/>
          <w:lang w:eastAsia="zh-CN"/>
        </w:rPr>
        <w:t>文旅局</w:t>
      </w:r>
      <w:r>
        <w:rPr>
          <w:rFonts w:hint="eastAsia" w:ascii="微软雅黑" w:hAnsi="微软雅黑" w:eastAsia="微软雅黑" w:cs="微软雅黑"/>
          <w:b/>
          <w:i w:val="0"/>
          <w:caps w:val="0"/>
          <w:color w:val="BC1010"/>
          <w:spacing w:val="0"/>
          <w:sz w:val="40"/>
          <w:szCs w:val="40"/>
          <w:shd w:val="clear" w:fill="FFFFFF"/>
        </w:rPr>
        <w:t>201</w:t>
      </w:r>
      <w:r>
        <w:rPr>
          <w:rFonts w:hint="eastAsia" w:ascii="微软雅黑" w:hAnsi="微软雅黑" w:eastAsia="微软雅黑" w:cs="微软雅黑"/>
          <w:b/>
          <w:i w:val="0"/>
          <w:caps w:val="0"/>
          <w:color w:val="BC1010"/>
          <w:spacing w:val="0"/>
          <w:sz w:val="40"/>
          <w:szCs w:val="40"/>
          <w:shd w:val="clear" w:fill="FFFFFF"/>
          <w:lang w:val="en-US" w:eastAsia="zh-CN"/>
        </w:rPr>
        <w:t>8</w:t>
      </w:r>
      <w:r>
        <w:rPr>
          <w:rFonts w:hint="eastAsia" w:ascii="微软雅黑" w:hAnsi="微软雅黑" w:eastAsia="微软雅黑" w:cs="微软雅黑"/>
          <w:b/>
          <w:i w:val="0"/>
          <w:caps w:val="0"/>
          <w:color w:val="BC1010"/>
          <w:spacing w:val="0"/>
          <w:sz w:val="40"/>
          <w:szCs w:val="40"/>
          <w:shd w:val="clear" w:fill="FFFFFF"/>
        </w:rPr>
        <w:t>年决算公开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黄石港区文</w:t>
      </w:r>
      <w:r>
        <w:rPr>
          <w:rStyle w:val="7"/>
          <w:rFonts w:hint="eastAsia" w:ascii="微软雅黑" w:hAnsi="微软雅黑" w:eastAsia="微软雅黑" w:cs="微软雅黑"/>
          <w:i w:val="0"/>
          <w:caps w:val="0"/>
          <w:color w:val="333333"/>
          <w:spacing w:val="0"/>
          <w:sz w:val="24"/>
          <w:szCs w:val="24"/>
          <w:shd w:val="clear" w:fill="FFFFFF"/>
          <w:lang w:val="en-US" w:eastAsia="zh-CN"/>
        </w:rPr>
        <w:t>旅</w:t>
      </w:r>
      <w:r>
        <w:rPr>
          <w:rStyle w:val="7"/>
          <w:rFonts w:hint="eastAsia" w:ascii="微软雅黑" w:hAnsi="微软雅黑" w:eastAsia="微软雅黑" w:cs="微软雅黑"/>
          <w:i w:val="0"/>
          <w:caps w:val="0"/>
          <w:color w:val="333333"/>
          <w:spacing w:val="0"/>
          <w:sz w:val="24"/>
          <w:szCs w:val="24"/>
          <w:shd w:val="clear" w:fill="FFFFFF"/>
          <w:lang w:eastAsia="zh-CN"/>
        </w:rPr>
        <w:t>局</w:t>
      </w: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年决算公开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部门201</w:t>
      </w:r>
      <w:r>
        <w:rPr>
          <w:rFonts w:hint="eastAsia" w:ascii="微软雅黑" w:hAnsi="微软雅黑" w:eastAsia="微软雅黑" w:cs="微软雅黑"/>
          <w:b w:val="0"/>
          <w:i w:val="0"/>
          <w:caps w:val="0"/>
          <w:color w:val="333333"/>
          <w:spacing w:val="0"/>
          <w:sz w:val="24"/>
          <w:szCs w:val="24"/>
          <w:shd w:val="clear" w:fill="FFFFFF"/>
          <w:lang w:val="en-US" w:eastAsia="zh-CN"/>
        </w:rPr>
        <w:t>8</w:t>
      </w:r>
      <w:r>
        <w:rPr>
          <w:rFonts w:hint="eastAsia" w:ascii="微软雅黑" w:hAnsi="微软雅黑" w:eastAsia="微软雅黑" w:cs="微软雅黑"/>
          <w:b w:val="0"/>
          <w:i w:val="0"/>
          <w:caps w:val="0"/>
          <w:color w:val="333333"/>
          <w:spacing w:val="0"/>
          <w:sz w:val="24"/>
          <w:szCs w:val="24"/>
          <w:shd w:val="clear" w:fill="FFFFFF"/>
        </w:rPr>
        <w:t>年部门决算表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八、政府性基金预算财政拨款收入支出决算表（8）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第三部分：部门201</w:t>
      </w:r>
      <w:r>
        <w:rPr>
          <w:rFonts w:hint="eastAsia" w:ascii="微软雅黑" w:hAnsi="微软雅黑" w:eastAsia="微软雅黑" w:cs="微软雅黑"/>
          <w:b w:val="0"/>
          <w:i w:val="0"/>
          <w:caps w:val="0"/>
          <w:color w:val="333333"/>
          <w:spacing w:val="0"/>
          <w:sz w:val="24"/>
          <w:szCs w:val="24"/>
          <w:shd w:val="clear" w:fill="FFFFFF"/>
          <w:lang w:val="en-US" w:eastAsia="zh-CN"/>
        </w:rPr>
        <w:t>8</w:t>
      </w:r>
      <w:r>
        <w:rPr>
          <w:rFonts w:hint="eastAsia" w:ascii="微软雅黑" w:hAnsi="微软雅黑" w:eastAsia="微软雅黑" w:cs="微软雅黑"/>
          <w:b w:val="0"/>
          <w:i w:val="0"/>
          <w:caps w:val="0"/>
          <w:color w:val="333333"/>
          <w:spacing w:val="0"/>
          <w:sz w:val="24"/>
          <w:szCs w:val="24"/>
          <w:shd w:val="clear" w:fill="FFFFFF"/>
        </w:rPr>
        <w:t>年部门决算情况说明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第四部分：名词解释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年部门决算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pPr>
        <w:widowControl/>
        <w:shd w:val="clear" w:color="auto" w:fill="FFFFFF"/>
        <w:ind w:firstLine="480"/>
        <w:jc w:val="left"/>
        <w:rPr>
          <w:rFonts w:hint="eastAsia" w:ascii="宋体" w:hAnsi="宋体" w:cs="宋体"/>
          <w:color w:val="333333"/>
          <w:kern w:val="0"/>
          <w:sz w:val="28"/>
          <w:szCs w:val="28"/>
          <w:lang w:eastAsia="zh-CN"/>
        </w:rPr>
      </w:pPr>
      <w:r>
        <w:rPr>
          <w:rFonts w:hint="eastAsia" w:ascii="宋体" w:hAnsi="宋体" w:cs="宋体"/>
          <w:color w:val="333333"/>
          <w:kern w:val="0"/>
          <w:sz w:val="28"/>
          <w:szCs w:val="28"/>
        </w:rPr>
        <w:t>（一）主要</w:t>
      </w:r>
      <w:r>
        <w:rPr>
          <w:rFonts w:hint="eastAsia" w:ascii="宋体" w:hAnsi="宋体" w:cs="宋体"/>
          <w:color w:val="333333"/>
          <w:kern w:val="0"/>
          <w:sz w:val="28"/>
          <w:szCs w:val="28"/>
          <w:lang w:eastAsia="zh-CN"/>
        </w:rPr>
        <w:t>职能</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color w:val="333333"/>
          <w:kern w:val="0"/>
          <w:sz w:val="28"/>
          <w:szCs w:val="28"/>
        </w:rPr>
      </w:pPr>
      <w:r>
        <w:rPr>
          <w:rFonts w:hint="eastAsia" w:ascii="宋体" w:hAnsi="宋体" w:cs="宋体"/>
          <w:color w:val="333333"/>
          <w:kern w:val="0"/>
          <w:sz w:val="28"/>
          <w:szCs w:val="28"/>
        </w:rPr>
        <w:t>整合的职能</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将原区卫生文化体育局承担的文化、体育的职责整体划入区文化体育局</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下放的职能</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娱乐场所设立许可，互联网上网服务营业场所的设立、变更审批职能。</w:t>
      </w:r>
    </w:p>
    <w:p>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val="en-US" w:eastAsia="zh-CN"/>
        </w:rPr>
        <w:t>（二）</w:t>
      </w:r>
      <w:r>
        <w:rPr>
          <w:rFonts w:hint="eastAsia" w:ascii="宋体" w:hAnsi="宋体" w:cs="宋体"/>
          <w:color w:val="333333"/>
          <w:kern w:val="0"/>
          <w:sz w:val="28"/>
          <w:szCs w:val="28"/>
        </w:rPr>
        <w:t>主要职责</w:t>
      </w:r>
    </w:p>
    <w:p>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rPr>
        <w:t>贯彻执行党中央、国务院关于文化、体育工作的路线、方针、政策，组织实施文化、体育工作的政策、法律、法规</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负责全区文化事业、体育工作的管理、指导、监督和服务工作</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组织实施《全民健身计划纲要》、《全民健身条例》，统筹规划全区群众体育发展，负责推行全民健身计划，推动全区国民体质监测和社会体育指导工作队伍制度建设，指导公共体育设施建设，推动体育事业的发展，促进社会主义精神文明建设</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组织群众开展文化活动，积极参与全市重大文化活动。指导文化信息资源共享工程建设工作；指导开展基层群众文化活动；指导社区文化活动室和社区文化活动中心建设</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承办上级交办的其他事项。区文化体育服务中心主要职责：指导艺术创作与生产，推动各门类艺术的发展，组织区群众性大型文化、体育活动。</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color w:val="333333"/>
          <w:kern w:val="0"/>
          <w:sz w:val="28"/>
          <w:szCs w:val="28"/>
        </w:rPr>
      </w:pPr>
    </w:p>
    <w:p>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rPr>
        <w:t>（</w:t>
      </w:r>
      <w:r>
        <w:rPr>
          <w:rFonts w:hint="eastAsia" w:ascii="宋体" w:hAnsi="宋体" w:cs="宋体"/>
          <w:color w:val="333333"/>
          <w:kern w:val="0"/>
          <w:sz w:val="28"/>
          <w:szCs w:val="28"/>
          <w:lang w:eastAsia="zh-CN"/>
        </w:rPr>
        <w:t>三</w:t>
      </w:r>
      <w:r>
        <w:rPr>
          <w:rFonts w:hint="eastAsia" w:ascii="宋体" w:hAnsi="宋体" w:cs="宋体"/>
          <w:color w:val="333333"/>
          <w:kern w:val="0"/>
          <w:sz w:val="28"/>
          <w:szCs w:val="28"/>
        </w:rPr>
        <w:t>）单位基本信息(机构设置等)</w:t>
      </w:r>
    </w:p>
    <w:p>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rPr>
        <w:t>根据《省编办关于组建市县卫生和计划生育部门的通知》（鄂编办文[2013]132号）、《关于组建县（市、区）卫生和计划生育部门的通知》（黄编办文[2013]54号）和《关于组建黄石港区卫生和计划生育局等机构的批复》（黄编办文[2013]58号）文件精神，设立黄石港区文化体育局，为区政府工作部门。2016年2月黄石港区旅游局挂靠区文化体育局。下设区文化体育服务中心,为区文化体育局管理的副科级事业单位。核定人员编制3名，设领导职数1正（副科级）。</w:t>
      </w:r>
    </w:p>
    <w:p>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（四）</w:t>
      </w:r>
      <w:r>
        <w:rPr>
          <w:rFonts w:hint="eastAsia" w:ascii="宋体" w:hAnsi="宋体" w:cs="宋体"/>
          <w:color w:val="333333"/>
          <w:kern w:val="0"/>
          <w:sz w:val="28"/>
          <w:szCs w:val="28"/>
        </w:rPr>
        <w:t>人员情况：</w:t>
      </w:r>
    </w:p>
    <w:p>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rPr>
        <w:t>201</w:t>
      </w:r>
      <w:r>
        <w:rPr>
          <w:rFonts w:hint="eastAsia" w:ascii="宋体" w:hAnsi="宋体" w:cs="宋体"/>
          <w:color w:val="333333"/>
          <w:kern w:val="0"/>
          <w:sz w:val="28"/>
          <w:szCs w:val="28"/>
          <w:lang w:val="en-US" w:eastAsia="zh-CN"/>
        </w:rPr>
        <w:t>8</w:t>
      </w:r>
      <w:r>
        <w:rPr>
          <w:rFonts w:hint="eastAsia" w:ascii="宋体" w:hAnsi="宋体" w:cs="宋体"/>
          <w:color w:val="333333"/>
          <w:kern w:val="0"/>
          <w:sz w:val="28"/>
          <w:szCs w:val="28"/>
        </w:rPr>
        <w:t>年文体局工作人员</w:t>
      </w:r>
      <w:r>
        <w:rPr>
          <w:rFonts w:hint="eastAsia" w:ascii="宋体" w:hAnsi="宋体" w:cs="宋体"/>
          <w:color w:val="333333"/>
          <w:kern w:val="0"/>
          <w:sz w:val="28"/>
          <w:szCs w:val="28"/>
          <w:lang w:val="en-US" w:eastAsia="zh-CN"/>
        </w:rPr>
        <w:t>11</w:t>
      </w:r>
      <w:r>
        <w:rPr>
          <w:rFonts w:hint="eastAsia" w:ascii="宋体" w:hAnsi="宋体" w:cs="宋体"/>
          <w:color w:val="333333"/>
          <w:kern w:val="0"/>
          <w:sz w:val="28"/>
          <w:szCs w:val="28"/>
        </w:rPr>
        <w:t>人，其中局长</w:t>
      </w:r>
      <w:r>
        <w:rPr>
          <w:rFonts w:hint="eastAsia" w:ascii="宋体" w:hAnsi="宋体" w:cs="宋体"/>
          <w:color w:val="333333"/>
          <w:kern w:val="0"/>
          <w:sz w:val="28"/>
          <w:szCs w:val="28"/>
          <w:lang w:val="en-US" w:eastAsia="zh-CN"/>
        </w:rPr>
        <w:t>书记</w:t>
      </w:r>
      <w:r>
        <w:rPr>
          <w:rFonts w:hint="eastAsia" w:ascii="宋体" w:hAnsi="宋体" w:cs="宋体"/>
          <w:color w:val="333333"/>
          <w:kern w:val="0"/>
          <w:sz w:val="28"/>
          <w:szCs w:val="28"/>
        </w:rPr>
        <w:t>1人，文体中心主任1人，解除领导职务1人，科员</w:t>
      </w:r>
      <w:r>
        <w:rPr>
          <w:rFonts w:hint="eastAsia" w:ascii="宋体" w:hAnsi="宋体" w:cs="宋体"/>
          <w:color w:val="333333"/>
          <w:kern w:val="0"/>
          <w:sz w:val="28"/>
          <w:szCs w:val="28"/>
          <w:lang w:val="en-US" w:eastAsia="zh-CN"/>
        </w:rPr>
        <w:t>3</w:t>
      </w:r>
      <w:r>
        <w:rPr>
          <w:rFonts w:hint="eastAsia" w:ascii="宋体" w:hAnsi="宋体" w:cs="宋体"/>
          <w:color w:val="333333"/>
          <w:kern w:val="0"/>
          <w:sz w:val="28"/>
          <w:szCs w:val="28"/>
        </w:rPr>
        <w:t>人</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聘用人员2人，“三支一扶”人员3人</w:t>
      </w:r>
      <w:r>
        <w:rPr>
          <w:rFonts w:hint="eastAsia" w:ascii="宋体" w:hAnsi="宋体" w:cs="宋体"/>
          <w:color w:val="333333"/>
          <w:kern w:val="0"/>
          <w:sz w:val="28"/>
          <w:szCs w:val="28"/>
        </w:rPr>
        <w:t>。</w:t>
      </w:r>
    </w:p>
    <w:p>
      <w:pPr>
        <w:widowControl/>
        <w:shd w:val="clear" w:color="auto" w:fill="FFFFFF"/>
        <w:jc w:val="left"/>
        <w:rPr>
          <w:rFonts w:hint="eastAsia" w:ascii="宋体" w:hAnsi="宋体" w:cs="宋体"/>
          <w:color w:val="333333"/>
          <w:kern w:val="0"/>
          <w:sz w:val="30"/>
          <w:szCs w:val="30"/>
        </w:rPr>
      </w:pPr>
      <w:r>
        <w:rPr>
          <w:rFonts w:hint="eastAsia" w:ascii="宋体" w:hAnsi="宋体" w:cs="宋体"/>
          <w:color w:val="333333"/>
          <w:kern w:val="0"/>
          <w:sz w:val="30"/>
          <w:szCs w:val="30"/>
        </w:rPr>
        <w:t xml:space="preserve"> </w:t>
      </w:r>
    </w:p>
    <w:p>
      <w:pPr>
        <w:widowControl/>
        <w:shd w:val="clear" w:color="auto" w:fill="FFFFFF"/>
        <w:jc w:val="left"/>
        <w:rPr>
          <w:rFonts w:hint="eastAsia" w:ascii="宋体" w:hAnsi="宋体" w:cs="宋体"/>
          <w:color w:val="333333"/>
          <w:kern w:val="0"/>
          <w:sz w:val="30"/>
          <w:szCs w:val="30"/>
        </w:rPr>
      </w:pPr>
    </w:p>
    <w:p>
      <w:pPr>
        <w:widowControl/>
        <w:shd w:val="clear" w:color="auto" w:fill="FFFFFF"/>
        <w:jc w:val="left"/>
        <w:rPr>
          <w:rFonts w:hint="eastAsia" w:ascii="宋体" w:hAnsi="宋体" w:cs="宋体"/>
          <w:color w:val="333333"/>
          <w:kern w:val="0"/>
          <w:sz w:val="30"/>
          <w:szCs w:val="3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Style w:val="7"/>
          <w:rFonts w:hint="eastAsia" w:ascii="微软雅黑" w:hAnsi="微软雅黑" w:eastAsia="微软雅黑" w:cs="微软雅黑"/>
          <w:i w:val="0"/>
          <w:caps w:val="0"/>
          <w:color w:val="333333"/>
          <w:spacing w:val="0"/>
          <w:sz w:val="24"/>
          <w:szCs w:val="24"/>
          <w:shd w:val="clear" w:fill="FFFFFF"/>
          <w:lang w:eastAsia="zh-CN"/>
        </w:rPr>
        <w:t>第二部分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部门</w:t>
      </w: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年部门决算</w:t>
      </w:r>
      <w:r>
        <w:rPr>
          <w:rStyle w:val="7"/>
          <w:rFonts w:hint="eastAsia" w:ascii="微软雅黑" w:hAnsi="微软雅黑" w:eastAsia="微软雅黑" w:cs="微软雅黑"/>
          <w:i w:val="0"/>
          <w:caps w:val="0"/>
          <w:color w:val="333333"/>
          <w:spacing w:val="0"/>
          <w:sz w:val="24"/>
          <w:szCs w:val="24"/>
          <w:shd w:val="clear" w:fill="FFFFFF"/>
          <w:lang w:eastAsia="zh-CN"/>
        </w:rPr>
        <w:t>表</w:t>
      </w:r>
      <w:r>
        <w:drawing>
          <wp:inline distT="0" distB="0" distL="114300" distR="114300">
            <wp:extent cx="9002395" cy="4772660"/>
            <wp:effectExtent l="0" t="0" r="825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9002395" cy="4772660"/>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both"/>
      </w:pPr>
      <w:r>
        <w:drawing>
          <wp:inline distT="0" distB="0" distL="114300" distR="114300">
            <wp:extent cx="8612505" cy="2623820"/>
            <wp:effectExtent l="0" t="0" r="1714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8612505" cy="2623820"/>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pPr>
      <w:r>
        <w:drawing>
          <wp:inline distT="0" distB="0" distL="114300" distR="114300">
            <wp:extent cx="8589010" cy="234315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8589010" cy="2343150"/>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drawing>
          <wp:inline distT="0" distB="0" distL="114300" distR="114300">
            <wp:extent cx="8616950" cy="5268595"/>
            <wp:effectExtent l="0" t="0" r="1270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8616950" cy="5268595"/>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pPr>
      <w:r>
        <w:drawing>
          <wp:inline distT="0" distB="0" distL="114300" distR="114300">
            <wp:extent cx="8632190" cy="3657600"/>
            <wp:effectExtent l="0" t="0" r="165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8632190" cy="3657600"/>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drawing>
          <wp:inline distT="0" distB="0" distL="114300" distR="114300">
            <wp:extent cx="8425815" cy="5641975"/>
            <wp:effectExtent l="0" t="0" r="13335"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8425815" cy="5641975"/>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r>
        <w:drawing>
          <wp:inline distT="0" distB="0" distL="114300" distR="114300">
            <wp:extent cx="8482965" cy="2033905"/>
            <wp:effectExtent l="0" t="0" r="1333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8482965" cy="2033905"/>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8485505" cy="2513330"/>
            <wp:effectExtent l="0" t="0" r="1079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8485505" cy="2513330"/>
                    </a:xfrm>
                    <a:prstGeom prst="rect">
                      <a:avLst/>
                    </a:prstGeom>
                    <a:noFill/>
                    <a:ln>
                      <a:noFill/>
                    </a:ln>
                  </pic:spPr>
                </pic:pic>
              </a:graphicData>
            </a:graphic>
          </wp:inline>
        </w:drawing>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firstLine="240" w:firstLineChars="100"/>
        <w:rPr>
          <w:rFonts w:hint="eastAsia"/>
          <w:color w:val="000000"/>
          <w:spacing w:val="2"/>
          <w:sz w:val="28"/>
          <w:szCs w:val="28"/>
        </w:rPr>
      </w:pPr>
      <w:r>
        <w:rPr>
          <w:rStyle w:val="7"/>
          <w:rFonts w:hint="eastAsia" w:ascii="微软雅黑" w:hAnsi="微软雅黑" w:eastAsia="微软雅黑" w:cs="微软雅黑"/>
          <w:i w:val="0"/>
          <w:caps w:val="0"/>
          <w:color w:val="333333"/>
          <w:spacing w:val="0"/>
          <w:sz w:val="24"/>
          <w:szCs w:val="24"/>
          <w:shd w:val="clear" w:fill="FFFFFF"/>
          <w:lang w:eastAsia="zh-CN"/>
        </w:rPr>
        <w:t>第三部分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年部门决算情况说明</w:t>
      </w:r>
    </w:p>
    <w:p>
      <w:pPr>
        <w:widowControl/>
        <w:shd w:val="clear" w:color="auto" w:fill="FFFFFF"/>
        <w:ind w:firstLine="480"/>
        <w:jc w:val="left"/>
        <w:rPr>
          <w:rFonts w:hint="eastAsia" w:hAnsi="宋体"/>
          <w:b/>
          <w:bCs/>
          <w:color w:val="000000"/>
          <w:spacing w:val="2"/>
          <w:sz w:val="28"/>
          <w:szCs w:val="28"/>
        </w:rPr>
      </w:pPr>
      <w:r>
        <w:rPr>
          <w:rFonts w:hint="eastAsia" w:ascii="宋体" w:hAnsi="宋体" w:cs="宋体"/>
          <w:b/>
          <w:bCs/>
          <w:sz w:val="28"/>
          <w:szCs w:val="28"/>
        </w:rPr>
        <w:t>（一）预算执行情况分析</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1、收入支出与预算对比分析</w:t>
      </w:r>
    </w:p>
    <w:p>
      <w:pPr>
        <w:widowControl/>
        <w:ind w:firstLine="556" w:firstLineChars="196"/>
        <w:rPr>
          <w:rFonts w:hint="eastAsia" w:hAnsi="宋体"/>
          <w:color w:val="000000"/>
          <w:spacing w:val="2"/>
          <w:sz w:val="28"/>
          <w:szCs w:val="28"/>
        </w:rPr>
      </w:pPr>
      <w:r>
        <w:rPr>
          <w:rFonts w:hint="eastAsia" w:ascii="宋体" w:hAnsi="宋体"/>
          <w:color w:val="000000"/>
          <w:spacing w:val="2"/>
          <w:sz w:val="28"/>
          <w:szCs w:val="28"/>
          <w:lang w:eastAsia="zh-CN"/>
        </w:rPr>
        <w:t>2018年全年总收入5352825.66元，其中财拨款决算收入5188771.96元,其它收入164053.7元， 2018年全年决算总支出5789119.42元，其中财拨款决算支出5188771.96元,其它资金支出600347.46元，2018年财政预算数1025368元，财拔决算比预算多4163403.93元，幅度为406%，原因为业务增加。</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val="en-US" w:eastAsia="zh-CN"/>
        </w:rPr>
        <w:t>2、</w:t>
      </w:r>
      <w:r>
        <w:rPr>
          <w:rFonts w:hint="eastAsia" w:ascii="宋体" w:hAnsi="宋体"/>
          <w:color w:val="000000"/>
          <w:spacing w:val="2"/>
          <w:sz w:val="28"/>
          <w:szCs w:val="28"/>
          <w:lang w:eastAsia="zh-CN"/>
        </w:rPr>
        <w:t>收入支出结构分析</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 xml:space="preserve">2018年全年总收入5352825.66元,其中财拨款决算收入5188771.96元,其它收入164053.7元。2018年全年总支出5789119.42元，其中财拨款决算总支出5188771.96元，其它资金支出600347.46元，支出按以下分类说明： </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①支出功能分类：5789119.42元;其中政府办公厅（室）及相关机构事务600347.46元，文化5087136.96元，体育101635元，其他文化体育与传媒支出101635元；</w:t>
      </w:r>
    </w:p>
    <w:p>
      <w:pPr>
        <w:widowControl/>
        <w:ind w:firstLine="556" w:firstLineChars="196"/>
        <w:rPr>
          <w:rFonts w:hint="eastAsia" w:hAnsi="宋体"/>
          <w:color w:val="000000"/>
          <w:spacing w:val="2"/>
          <w:sz w:val="28"/>
          <w:szCs w:val="28"/>
        </w:rPr>
      </w:pPr>
      <w:r>
        <w:rPr>
          <w:rFonts w:hint="eastAsia" w:ascii="宋体" w:hAnsi="宋体"/>
          <w:color w:val="000000"/>
          <w:spacing w:val="2"/>
          <w:sz w:val="28"/>
          <w:szCs w:val="28"/>
          <w:lang w:eastAsia="zh-CN"/>
        </w:rPr>
        <w:t xml:space="preserve">②支出性质分类：5789119.42元;其中人员经费962434.95元，公用经费4826684.47元; </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③支出经济分类：5789119.42元;其中工资福利支出962434.95元，商品服务支出4819804.47元，对个人和家庭的补助支出 0元，其它资本性支出 6880元。</w:t>
      </w:r>
    </w:p>
    <w:p>
      <w:pPr>
        <w:widowControl/>
        <w:shd w:val="clear" w:color="auto" w:fill="FFFFFF"/>
        <w:ind w:firstLine="480"/>
        <w:jc w:val="left"/>
        <w:rPr>
          <w:rFonts w:hint="eastAsia" w:ascii="宋体" w:hAnsi="宋体" w:cs="宋体"/>
          <w:b/>
          <w:bCs/>
          <w:sz w:val="28"/>
          <w:szCs w:val="28"/>
          <w:lang w:eastAsia="zh-CN"/>
        </w:rPr>
      </w:pPr>
      <w:r>
        <w:rPr>
          <w:rFonts w:hint="eastAsia" w:ascii="宋体" w:hAnsi="宋体" w:cs="宋体"/>
          <w:b/>
          <w:bCs/>
          <w:sz w:val="28"/>
          <w:szCs w:val="28"/>
          <w:lang w:eastAsia="zh-CN"/>
        </w:rPr>
        <w:t>（二）关于“三公”经费支出说明</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 xml:space="preserve"> 2018年“三公”经费决算总支出0元，其中：公务车运行维护费0元，年初预算数0元，决算数比预算数减少0元，减少幅度为0%；公务接待费0元，年初预算数0元，决算数比预算数增加0元，增长幅度为0%；因公出国（境）费0元，预算数0元，决算数比预算数增加0元，增长幅度为0%；</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2017年”三公”经费支出情况: 总支出1287元，其中：公务车运行维护费0元，公务接待费1287元，因公出国（境）费0元。培训费支出情况：2018年决算培训费0元，2017年决算培训费0元，增长幅度为0%。会议费支出情况：2018年决算会议费0元，2017年决算培训费0元，增长幅度为0%。</w:t>
      </w:r>
    </w:p>
    <w:p>
      <w:pPr>
        <w:widowControl/>
        <w:shd w:val="clear" w:color="auto" w:fill="FFFFFF"/>
        <w:ind w:firstLine="480"/>
        <w:jc w:val="left"/>
        <w:rPr>
          <w:rFonts w:hint="eastAsia" w:ascii="宋体" w:hAnsi="宋体" w:cs="宋体"/>
          <w:b/>
          <w:bCs/>
          <w:sz w:val="28"/>
          <w:szCs w:val="28"/>
          <w:lang w:eastAsia="zh-CN"/>
        </w:rPr>
      </w:pPr>
      <w:r>
        <w:rPr>
          <w:rFonts w:hint="eastAsia" w:ascii="宋体" w:hAnsi="宋体" w:cs="宋体"/>
          <w:b/>
          <w:bCs/>
          <w:sz w:val="28"/>
          <w:szCs w:val="28"/>
          <w:lang w:eastAsia="zh-CN"/>
        </w:rPr>
        <w:t>（三）关于机关运行经费支出说明</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2018年机关运行经费支出4249290.34元, 2017年机关运行经费支出2,595,165.01元,同比上年增加1654125.33元，同比上年增加63.73%，原因是业务量增加。</w:t>
      </w:r>
    </w:p>
    <w:p>
      <w:pPr>
        <w:widowControl/>
        <w:shd w:val="clear" w:color="auto" w:fill="FFFFFF"/>
        <w:ind w:firstLine="480"/>
        <w:jc w:val="left"/>
        <w:rPr>
          <w:rFonts w:hint="eastAsia" w:ascii="宋体" w:hAnsi="宋体" w:cs="宋体"/>
          <w:b/>
          <w:bCs/>
          <w:sz w:val="28"/>
          <w:szCs w:val="28"/>
          <w:lang w:eastAsia="zh-CN"/>
        </w:rPr>
      </w:pPr>
      <w:r>
        <w:rPr>
          <w:rFonts w:hint="eastAsia" w:ascii="宋体" w:hAnsi="宋体" w:cs="宋体"/>
          <w:b/>
          <w:bCs/>
          <w:sz w:val="28"/>
          <w:szCs w:val="28"/>
          <w:lang w:eastAsia="zh-CN"/>
        </w:rPr>
        <w:t>（四）关于政府采购支出说明</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2018年政府采购总支出3427720元，其中政府采购货物支出74850元，政府采购工程支出2875309元，政府采购服务支出522561元。</w:t>
      </w:r>
    </w:p>
    <w:p>
      <w:pPr>
        <w:widowControl/>
        <w:shd w:val="clear" w:color="auto" w:fill="FFFFFF"/>
        <w:ind w:firstLine="480"/>
        <w:jc w:val="left"/>
        <w:rPr>
          <w:rFonts w:hint="eastAsia" w:ascii="宋体" w:hAnsi="宋体" w:cs="宋体"/>
          <w:b/>
          <w:bCs/>
          <w:sz w:val="28"/>
          <w:szCs w:val="28"/>
          <w:lang w:eastAsia="zh-CN"/>
        </w:rPr>
      </w:pPr>
      <w:r>
        <w:rPr>
          <w:rFonts w:hint="eastAsia" w:ascii="宋体" w:hAnsi="宋体" w:cs="宋体"/>
          <w:b/>
          <w:bCs/>
          <w:sz w:val="28"/>
          <w:szCs w:val="28"/>
          <w:lang w:eastAsia="zh-CN"/>
        </w:rPr>
        <w:t>（五）关于国有资产占用情况说明</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截至2018年12月31日，本单位共有车辆0辆，其中领导干部用车0辆，一般公务用车0辆，一般执法执勤用车0辆，特种专业技术用车0辆，其它用车0辆。</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2017年12月31日，本单位共有车辆0辆，其中领导干部用车0辆，一般公务用车0辆，一般执法执勤用车0辆，特种专业技术用车0辆，其它用车0辆。</w:t>
      </w:r>
    </w:p>
    <w:p>
      <w:pPr>
        <w:spacing w:line="560" w:lineRule="exact"/>
        <w:ind w:firstLine="570" w:firstLineChars="200"/>
        <w:rPr>
          <w:rFonts w:hint="eastAsia" w:asciiTheme="minorEastAsia" w:hAnsiTheme="minorEastAsia" w:eastAsiaTheme="minorEastAsia" w:cstheme="minorEastAsia"/>
          <w:b/>
          <w:bCs/>
          <w:color w:val="000000"/>
          <w:spacing w:val="2"/>
          <w:sz w:val="28"/>
          <w:szCs w:val="28"/>
          <w:lang w:val="en-US" w:eastAsia="zh-CN"/>
        </w:rPr>
      </w:pPr>
      <w:r>
        <w:rPr>
          <w:rFonts w:hint="eastAsia" w:asciiTheme="minorEastAsia" w:hAnsiTheme="minorEastAsia" w:eastAsiaTheme="minorEastAsia" w:cstheme="minorEastAsia"/>
          <w:b/>
          <w:bCs/>
          <w:color w:val="000000"/>
          <w:spacing w:val="2"/>
          <w:sz w:val="28"/>
          <w:szCs w:val="28"/>
          <w:lang w:val="en-US" w:eastAsia="zh-CN"/>
        </w:rPr>
        <w:t>（六）重点绩效评价结果等预算绩效情况说明</w:t>
      </w:r>
    </w:p>
    <w:p>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val="en-US" w:eastAsia="zh-CN"/>
        </w:rPr>
        <w:t>2018年， 根据预算绩效管理要求，我单位组织2018年度一般公共预算项目支出全面开展绩效自评，共涉及项目1个，资金22.5万元。 2018年项目资金投入22.5万元，已使用22.5万元，使用率100%。使用从评价结果看，项目立项程序完整、规范，预算执行及时、有效，绩效目标得到较好实现，绩效管理水平不断提高，绩效指标体系建设逐渐丰富和完善。</w:t>
      </w:r>
    </w:p>
    <w:p>
      <w:pPr>
        <w:spacing w:line="440" w:lineRule="exact"/>
        <w:rPr>
          <w:rFonts w:hint="eastAsia"/>
          <w:b/>
          <w:color w:val="000000"/>
          <w:spacing w:val="2"/>
          <w:sz w:val="28"/>
          <w:szCs w:val="28"/>
        </w:rPr>
      </w:pPr>
    </w:p>
    <w:p>
      <w:pPr>
        <w:spacing w:line="440" w:lineRule="exact"/>
        <w:rPr>
          <w:rFonts w:hint="eastAsia" w:hAnsi="宋体"/>
          <w:b/>
          <w:color w:val="000000"/>
          <w:spacing w:val="2"/>
          <w:sz w:val="28"/>
          <w:szCs w:val="28"/>
        </w:rPr>
      </w:pPr>
      <w:bookmarkStart w:id="0" w:name="_GoBack"/>
      <w:bookmarkEnd w:id="0"/>
    </w:p>
    <w:p>
      <w:pPr>
        <w:spacing w:line="440" w:lineRule="exact"/>
        <w:ind w:firstLine="285" w:firstLineChars="100"/>
        <w:rPr>
          <w:rFonts w:hint="eastAsia"/>
          <w:b/>
          <w:color w:val="000000"/>
          <w:spacing w:val="2"/>
          <w:sz w:val="28"/>
          <w:szCs w:val="28"/>
        </w:rPr>
      </w:pPr>
      <w:r>
        <w:rPr>
          <w:rFonts w:hint="eastAsia" w:hAnsi="宋体"/>
          <w:b/>
          <w:color w:val="000000"/>
          <w:spacing w:val="2"/>
          <w:sz w:val="28"/>
          <w:szCs w:val="28"/>
          <w:lang w:eastAsia="zh-CN"/>
        </w:rPr>
        <w:t>第四部分</w:t>
      </w:r>
      <w:r>
        <w:rPr>
          <w:rFonts w:hint="eastAsia" w:hAnsi="宋体"/>
          <w:b/>
          <w:color w:val="000000"/>
          <w:spacing w:val="2"/>
          <w:sz w:val="28"/>
          <w:szCs w:val="28"/>
          <w:lang w:val="en-US" w:eastAsia="zh-CN"/>
        </w:rPr>
        <w:t xml:space="preserve"> </w:t>
      </w:r>
      <w:r>
        <w:rPr>
          <w:rFonts w:hint="eastAsia" w:hAnsi="宋体"/>
          <w:b/>
          <w:color w:val="000000"/>
          <w:spacing w:val="2"/>
          <w:sz w:val="28"/>
          <w:szCs w:val="28"/>
        </w:rPr>
        <w:t>名词解释</w:t>
      </w:r>
    </w:p>
    <w:p>
      <w:pPr>
        <w:keepNext w:val="0"/>
        <w:keepLines w:val="0"/>
        <w:pageBreakBefore w:val="0"/>
        <w:widowControl w:val="0"/>
        <w:kinsoku/>
        <w:wordWrap/>
        <w:overflowPunct/>
        <w:topLinePunct w:val="0"/>
        <w:autoSpaceDE/>
        <w:autoSpaceDN/>
        <w:bidi w:val="0"/>
        <w:adjustRightInd/>
        <w:snapToGrid/>
        <w:ind w:firstLine="568" w:firstLineChars="200"/>
        <w:textAlignment w:val="auto"/>
        <w:rPr>
          <w:color w:val="000000"/>
          <w:spacing w:val="2"/>
          <w:sz w:val="28"/>
          <w:szCs w:val="28"/>
        </w:rPr>
      </w:pPr>
      <w:r>
        <w:rPr>
          <w:rFonts w:hint="eastAsia"/>
          <w:color w:val="000000"/>
          <w:spacing w:val="2"/>
          <w:sz w:val="28"/>
          <w:szCs w:val="28"/>
        </w:rPr>
        <w:t>（一）财政拨款（补助）：指省级财政当年拨付的资金。</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color w:val="000000"/>
          <w:spacing w:val="2"/>
          <w:sz w:val="28"/>
          <w:szCs w:val="28"/>
        </w:rPr>
      </w:pPr>
      <w:r>
        <w:rPr>
          <w:rFonts w:hint="eastAsia"/>
          <w:color w:val="000000"/>
          <w:spacing w:val="2"/>
          <w:sz w:val="28"/>
          <w:szCs w:val="28"/>
        </w:rPr>
        <w:t>（二）事业收入：指事业单位开展专业业务活动及其辅助活动取得的收入。</w:t>
      </w:r>
      <w:r>
        <w:rPr>
          <w:color w:val="000000"/>
          <w:spacing w:val="2"/>
          <w:sz w:val="28"/>
          <w:szCs w:val="28"/>
        </w:rPr>
        <w:t xml:space="preserve"> </w:t>
      </w:r>
      <w:r>
        <w:rPr>
          <w:color w:val="000000"/>
          <w:spacing w:val="2"/>
          <w:sz w:val="28"/>
          <w:szCs w:val="28"/>
        </w:rPr>
        <w:br w:type="textWrapping"/>
      </w:r>
      <w:r>
        <w:rPr>
          <w:rFonts w:hint="eastAsia"/>
          <w:color w:val="000000"/>
          <w:spacing w:val="2"/>
          <w:sz w:val="28"/>
          <w:szCs w:val="28"/>
        </w:rPr>
        <w:t>（三）其他收入：指预算单位在“财政拨款补助收入”、“事业收入”、“经营收入”以外取得的收入。</w:t>
      </w:r>
      <w:r>
        <w:rPr>
          <w:color w:val="000000"/>
          <w:spacing w:val="2"/>
          <w:sz w:val="28"/>
          <w:szCs w:val="28"/>
        </w:rPr>
        <w:t xml:space="preserve"> </w:t>
      </w:r>
      <w:r>
        <w:rPr>
          <w:color w:val="000000"/>
          <w:spacing w:val="2"/>
          <w:sz w:val="28"/>
          <w:szCs w:val="28"/>
        </w:rPr>
        <w:br w:type="textWrapping"/>
      </w:r>
      <w:r>
        <w:rPr>
          <w:rFonts w:hint="eastAsia"/>
          <w:color w:val="000000"/>
          <w:spacing w:val="2"/>
          <w:sz w:val="28"/>
          <w:szCs w:val="28"/>
        </w:rPr>
        <w:t>（四）上年结转：指以前年度尚未完成、结转到本年仍按原规定用途继续使用的资金。</w:t>
      </w:r>
      <w:r>
        <w:rPr>
          <w:color w:val="000000"/>
          <w:spacing w:val="2"/>
          <w:sz w:val="28"/>
          <w:szCs w:val="28"/>
        </w:rPr>
        <w:t xml:space="preserve"> </w:t>
      </w:r>
      <w:r>
        <w:rPr>
          <w:color w:val="000000"/>
          <w:spacing w:val="2"/>
          <w:sz w:val="28"/>
          <w:szCs w:val="28"/>
        </w:rPr>
        <w:br w:type="textWrapping"/>
      </w:r>
      <w:r>
        <w:rPr>
          <w:rFonts w:hint="eastAsia"/>
          <w:color w:val="000000"/>
          <w:spacing w:val="2"/>
          <w:sz w:val="28"/>
          <w:szCs w:val="28"/>
        </w:rPr>
        <w:t>（五）基本支出：指为保障机构正常运转、完成日常工作任务而发生的人员支出和公用支出。</w:t>
      </w:r>
      <w:r>
        <w:rPr>
          <w:color w:val="000000"/>
          <w:spacing w:val="2"/>
          <w:sz w:val="28"/>
          <w:szCs w:val="28"/>
        </w:rPr>
        <w:t xml:space="preserve"> </w:t>
      </w:r>
      <w:r>
        <w:rPr>
          <w:color w:val="000000"/>
          <w:spacing w:val="2"/>
          <w:sz w:val="28"/>
          <w:szCs w:val="28"/>
        </w:rPr>
        <w:br w:type="textWrapping"/>
      </w:r>
      <w:r>
        <w:rPr>
          <w:rFonts w:hint="eastAsia"/>
          <w:color w:val="000000"/>
          <w:spacing w:val="2"/>
          <w:sz w:val="28"/>
          <w:szCs w:val="28"/>
        </w:rPr>
        <w:t>（六）项目支出：指为完成特定的行政工作任务或事业发展目标，在基本支出之外发生的各项支出。</w:t>
      </w: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color w:val="000000"/>
          <w:spacing w:val="2"/>
          <w:sz w:val="28"/>
          <w:szCs w:val="28"/>
        </w:rPr>
      </w:pPr>
      <w:r>
        <w:rPr>
          <w:rFonts w:hint="eastAsia"/>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keepNext w:val="0"/>
        <w:keepLines w:val="0"/>
        <w:pageBreakBefore w:val="0"/>
        <w:widowControl w:val="0"/>
        <w:kinsoku/>
        <w:wordWrap/>
        <w:overflowPunct/>
        <w:topLinePunct w:val="0"/>
        <w:autoSpaceDE/>
        <w:autoSpaceDN/>
        <w:bidi w:val="0"/>
        <w:adjustRightInd/>
        <w:snapToGrid/>
        <w:ind w:firstLine="568" w:firstLineChars="200"/>
        <w:textAlignment w:val="auto"/>
      </w:pPr>
      <w:r>
        <w:rPr>
          <w:rFonts w:hint="eastAsia"/>
          <w:color w:val="000000"/>
          <w:spacing w:val="2"/>
          <w:sz w:val="28"/>
          <w:szCs w:val="28"/>
        </w:rPr>
        <w:t>（</w:t>
      </w:r>
      <w:r>
        <w:rPr>
          <w:rFonts w:hint="eastAsia"/>
          <w:color w:val="000000"/>
          <w:spacing w:val="2"/>
          <w:sz w:val="28"/>
          <w:szCs w:val="28"/>
          <w:lang w:val="en-US" w:eastAsia="zh-CN"/>
        </w:rPr>
        <w:t>八</w:t>
      </w:r>
      <w:r>
        <w:rPr>
          <w:rFonts w:hint="eastAsia"/>
          <w:color w:val="000000"/>
          <w:spacing w:val="2"/>
          <w:sz w:val="28"/>
          <w:szCs w:val="28"/>
        </w:rPr>
        <w:t>）行政运行（项）：指机关和实行公务员法管理事业单位用于保障机构正常运转的基本支出。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6809"/>
    <w:rsid w:val="0664587B"/>
    <w:rsid w:val="09FF39B4"/>
    <w:rsid w:val="10157CA5"/>
    <w:rsid w:val="11411182"/>
    <w:rsid w:val="13FA6E94"/>
    <w:rsid w:val="148202D5"/>
    <w:rsid w:val="1D3216D7"/>
    <w:rsid w:val="219E41B4"/>
    <w:rsid w:val="255E033E"/>
    <w:rsid w:val="27272230"/>
    <w:rsid w:val="27390172"/>
    <w:rsid w:val="2CCE2491"/>
    <w:rsid w:val="2E06000A"/>
    <w:rsid w:val="2F081AB6"/>
    <w:rsid w:val="35CD1F9D"/>
    <w:rsid w:val="401A2F36"/>
    <w:rsid w:val="408F5EDF"/>
    <w:rsid w:val="40BE403E"/>
    <w:rsid w:val="44064590"/>
    <w:rsid w:val="457D21A1"/>
    <w:rsid w:val="475C721C"/>
    <w:rsid w:val="49D83A19"/>
    <w:rsid w:val="507C1CF5"/>
    <w:rsid w:val="57193076"/>
    <w:rsid w:val="61773BFF"/>
    <w:rsid w:val="621B3808"/>
    <w:rsid w:val="63FE3A92"/>
    <w:rsid w:val="67E4782B"/>
    <w:rsid w:val="746766E2"/>
    <w:rsid w:val="74EA7B66"/>
    <w:rsid w:val="78186405"/>
    <w:rsid w:val="784C1E5B"/>
    <w:rsid w:val="7C2C219A"/>
    <w:rsid w:val="7D417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0">
    <w:name w:val="ca-2"/>
    <w:basedOn w:val="6"/>
    <w:qFormat/>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ca-3"/>
    <w:basedOn w:val="6"/>
    <w:qFormat/>
    <w:uiPriority w:val="0"/>
  </w:style>
  <w:style w:type="character" w:customStyle="1" w:styleId="13">
    <w:name w:val="apple-converted-space"/>
    <w:basedOn w:val="6"/>
    <w:qFormat/>
    <w:uiPriority w:val="99"/>
  </w:style>
  <w:style w:type="paragraph" w:customStyle="1" w:styleId="14">
    <w:name w:val="pa-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Administrator</cp:lastModifiedBy>
  <dcterms:modified xsi:type="dcterms:W3CDTF">2021-05-26T03:08:42Z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