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FE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安监局</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8</w:t>
      </w:r>
      <w:r>
        <w:rPr>
          <w:rFonts w:hint="eastAsia" w:ascii="微软雅黑" w:hAnsi="微软雅黑" w:eastAsia="微软雅黑" w:cs="微软雅黑"/>
          <w:b/>
          <w:i w:val="0"/>
          <w:caps w:val="0"/>
          <w:color w:val="BC1010"/>
          <w:spacing w:val="0"/>
          <w:sz w:val="40"/>
          <w:szCs w:val="40"/>
          <w:shd w:val="clear" w:fill="FFFFFF"/>
        </w:rPr>
        <w:t>年决算公开</w:t>
      </w:r>
    </w:p>
    <w:bookmarkEnd w:id="0"/>
    <w:p w14:paraId="4E5C1E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黄石港区安监局</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年决算公开</w:t>
      </w:r>
    </w:p>
    <w:p w14:paraId="3F23DF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240985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2937A3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001B40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1E3BF6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部门201</w:t>
      </w:r>
      <w:r>
        <w:rPr>
          <w:rFonts w:hint="eastAsia" w:ascii="微软雅黑" w:hAnsi="微软雅黑" w:eastAsia="微软雅黑" w:cs="微软雅黑"/>
          <w:b w:val="0"/>
          <w:i w:val="0"/>
          <w:caps w:val="0"/>
          <w:color w:val="333333"/>
          <w:spacing w:val="0"/>
          <w:sz w:val="24"/>
          <w:szCs w:val="24"/>
          <w:shd w:val="clear" w:fill="FFFFFF"/>
          <w:lang w:val="en-US" w:eastAsia="zh-CN"/>
        </w:rPr>
        <w:t>8</w:t>
      </w:r>
      <w:r>
        <w:rPr>
          <w:rFonts w:hint="eastAsia" w:ascii="微软雅黑" w:hAnsi="微软雅黑" w:eastAsia="微软雅黑" w:cs="微软雅黑"/>
          <w:b w:val="0"/>
          <w:i w:val="0"/>
          <w:caps w:val="0"/>
          <w:color w:val="333333"/>
          <w:spacing w:val="0"/>
          <w:sz w:val="24"/>
          <w:szCs w:val="24"/>
          <w:shd w:val="clear" w:fill="FFFFFF"/>
        </w:rPr>
        <w:t>年部门决算表</w:t>
      </w:r>
    </w:p>
    <w:p w14:paraId="5FB406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5593D9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28C20E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6A330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1E4C53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70149B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266D5E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5E4A6A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八、政府性基金预算财政拨款收入支出决算表（8）</w:t>
      </w:r>
    </w:p>
    <w:p w14:paraId="172D2B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第三部分：部门201</w:t>
      </w:r>
      <w:r>
        <w:rPr>
          <w:rFonts w:hint="eastAsia" w:ascii="微软雅黑" w:hAnsi="微软雅黑" w:eastAsia="微软雅黑" w:cs="微软雅黑"/>
          <w:b w:val="0"/>
          <w:i w:val="0"/>
          <w:caps w:val="0"/>
          <w:color w:val="333333"/>
          <w:spacing w:val="0"/>
          <w:sz w:val="24"/>
          <w:szCs w:val="24"/>
          <w:shd w:val="clear" w:fill="FFFFFF"/>
          <w:lang w:val="en-US" w:eastAsia="zh-CN"/>
        </w:rPr>
        <w:t>8</w:t>
      </w:r>
      <w:r>
        <w:rPr>
          <w:rFonts w:hint="eastAsia" w:ascii="微软雅黑" w:hAnsi="微软雅黑" w:eastAsia="微软雅黑" w:cs="微软雅黑"/>
          <w:b w:val="0"/>
          <w:i w:val="0"/>
          <w:caps w:val="0"/>
          <w:color w:val="333333"/>
          <w:spacing w:val="0"/>
          <w:sz w:val="24"/>
          <w:szCs w:val="24"/>
          <w:shd w:val="clear" w:fill="FFFFFF"/>
        </w:rPr>
        <w:t>年部门决算情况说明</w:t>
      </w:r>
    </w:p>
    <w:p w14:paraId="74A875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14:paraId="3E63D5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14:paraId="160AAD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14:paraId="68FAE2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14:paraId="3E3A8E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14:paraId="0F61A0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0102A6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5A040D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fill="FFFFFF"/>
        </w:rPr>
      </w:pPr>
    </w:p>
    <w:p w14:paraId="34BC1E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w:t>
      </w:r>
    </w:p>
    <w:p w14:paraId="69187E9F">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Theme="minorEastAsia" w:hAnsiTheme="minorEastAsia" w:eastAsiaTheme="minorEastAsia" w:cstheme="minorEastAsia"/>
          <w:b/>
          <w:bCs/>
          <w:sz w:val="28"/>
          <w:szCs w:val="28"/>
        </w:rPr>
      </w:pPr>
      <w:r>
        <w:rPr>
          <w:rStyle w:val="8"/>
          <w:rFonts w:hint="eastAsia" w:ascii="微软雅黑" w:hAnsi="微软雅黑" w:eastAsia="微软雅黑" w:cs="微软雅黑"/>
          <w:i w:val="0"/>
          <w:caps w:val="0"/>
          <w:color w:val="333333"/>
          <w:spacing w:val="0"/>
          <w:sz w:val="24"/>
          <w:szCs w:val="24"/>
          <w:shd w:val="clear" w:fill="FFFFFF"/>
        </w:rPr>
        <w:t>部门概况</w:t>
      </w:r>
    </w:p>
    <w:p w14:paraId="0B6C0EF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val="0"/>
          <w:bCs w:val="0"/>
          <w:color w:val="333333"/>
          <w:kern w:val="0"/>
          <w:sz w:val="28"/>
          <w:szCs w:val="28"/>
        </w:rPr>
        <w:t>（</w:t>
      </w:r>
      <w:r>
        <w:rPr>
          <w:rFonts w:hint="eastAsia" w:asciiTheme="minorEastAsia" w:hAnsiTheme="minorEastAsia" w:eastAsiaTheme="minorEastAsia" w:cstheme="minorEastAsia"/>
          <w:b w:val="0"/>
          <w:bCs w:val="0"/>
          <w:sz w:val="28"/>
          <w:szCs w:val="28"/>
        </w:rPr>
        <w:t>一）主要职责</w:t>
      </w:r>
    </w:p>
    <w:p w14:paraId="26F0EBD5">
      <w:pPr>
        <w:widowControl/>
        <w:shd w:val="clear" w:color="auto" w:fill="FFFFFF"/>
        <w:snapToGrid w:val="0"/>
        <w:spacing w:line="560" w:lineRule="exact"/>
        <w:ind w:firstLine="560" w:firstLineChars="200"/>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履行全区安全生产工作综合监督管理职能，指导、协调和督促有关部门依法履行安全生产工作职责，组织安全生产综合和专项检查，建立隐患排查治理体系和安全生产网格化管理体系，具体实施安全生产目标责任制管理和考核工作，综合监督管理安全生产应急救援工作。</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2、负责起草全区安全生产规章草案及规范性文件，制定安全生产专项规划，监督检查涉及安全生产的法律、法规、规章、规范性文件的执行情况，组织开展安全生产责任目标考核。</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3、负责安全生产形势综合分析和生产安全事故统计工作，定期通报全区安全生产形势，发布安全生产信息。</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4、负责危险化学品行业的安全监督管理工作，依法实施安全生产行政许可，督促新建、改建、扩建工程安全设施的“三同时”，依法监督工商贸企业贯彻执行安全生产法律、法规情况。</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5、组织开展安全生产打非治违、专项整治、行政执法工作，对不具备安全生产基本条件的生产经营单位进行查处；按照法律、法规的规定，负责对安全生产违法行为实施行政处罚。</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6、负责作业场所职业卫生的监督检查，组织查处职业危害事故和有关违法、违规行为。</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7、根据区政府授权或委托，依法组织、协调生产安全事故调查处理，指导，会同有关部门组织、召开较大事故新闻发布会。</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8、组织、指导全区安全宣传教育与培训工作。</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 xml:space="preserve">    9、承担区安委会办公室日常工作。</w:t>
      </w:r>
    </w:p>
    <w:p w14:paraId="4398DBF5">
      <w:pPr>
        <w:widowControl/>
        <w:shd w:val="clear" w:color="auto" w:fill="FFFFFF"/>
        <w:spacing w:line="560" w:lineRule="exact"/>
        <w:ind w:firstLine="560" w:firstLineChars="200"/>
        <w:jc w:val="left"/>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（二）部门机构情况</w:t>
      </w:r>
    </w:p>
    <w:p w14:paraId="00E512CA">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sz w:val="28"/>
          <w:szCs w:val="28"/>
        </w:rPr>
        <w:t>设有机构：</w:t>
      </w:r>
      <w:r>
        <w:rPr>
          <w:rFonts w:hint="eastAsia" w:asciiTheme="minorEastAsia" w:hAnsiTheme="minorEastAsia" w:eastAsiaTheme="minorEastAsia" w:cstheme="minorEastAsia"/>
          <w:color w:val="333333"/>
          <w:kern w:val="0"/>
          <w:sz w:val="28"/>
          <w:szCs w:val="28"/>
        </w:rPr>
        <w:t>办公室、综合监察科、职业健康卫生管理科、教育培训科。</w:t>
      </w:r>
    </w:p>
    <w:p w14:paraId="02D42434">
      <w:pPr>
        <w:widowControl/>
        <w:shd w:val="clear" w:color="auto" w:fill="FFFFFF"/>
        <w:spacing w:line="360" w:lineRule="auto"/>
        <w:ind w:firstLine="560" w:firstLineChars="200"/>
        <w:jc w:val="left"/>
        <w:rPr>
          <w:rFonts w:hint="eastAsia" w:ascii="仿宋" w:hAnsi="仿宋" w:eastAsia="仿宋" w:cs="仿宋"/>
          <w:color w:val="333333"/>
          <w:kern w:val="0"/>
          <w:sz w:val="28"/>
          <w:szCs w:val="28"/>
        </w:rPr>
      </w:pPr>
    </w:p>
    <w:p w14:paraId="24F9C2B3">
      <w:pPr>
        <w:widowControl/>
        <w:spacing w:before="100" w:beforeAutospacing="1" w:after="100" w:afterAutospacing="1" w:line="408" w:lineRule="auto"/>
        <w:ind w:firstLine="620"/>
        <w:jc w:val="left"/>
        <w:rPr>
          <w:rFonts w:hint="eastAsia"/>
          <w:color w:val="333333"/>
          <w:sz w:val="28"/>
          <w:szCs w:val="28"/>
        </w:rPr>
      </w:pPr>
    </w:p>
    <w:p w14:paraId="28254BED">
      <w:pPr>
        <w:widowControl/>
        <w:shd w:val="clear" w:color="auto" w:fill="FFFFFF"/>
        <w:jc w:val="left"/>
        <w:rPr>
          <w:rFonts w:hint="eastAsia" w:ascii="宋体" w:hAnsi="宋体" w:cs="宋体"/>
          <w:color w:val="333333"/>
          <w:kern w:val="0"/>
          <w:sz w:val="30"/>
          <w:szCs w:val="30"/>
        </w:rPr>
      </w:pPr>
      <w:r>
        <w:rPr>
          <w:rFonts w:hint="eastAsia" w:ascii="宋体" w:hAnsi="宋体" w:cs="宋体"/>
          <w:color w:val="333333"/>
          <w:kern w:val="0"/>
          <w:sz w:val="30"/>
          <w:szCs w:val="30"/>
        </w:rPr>
        <w:t xml:space="preserve"> </w:t>
      </w:r>
    </w:p>
    <w:p w14:paraId="12CCABB7">
      <w:pPr>
        <w:widowControl/>
        <w:shd w:val="clear" w:color="auto" w:fill="FFFFFF"/>
        <w:jc w:val="left"/>
        <w:rPr>
          <w:rFonts w:hint="eastAsia" w:ascii="宋体" w:hAnsi="宋体" w:cs="宋体"/>
          <w:color w:val="333333"/>
          <w:kern w:val="0"/>
          <w:sz w:val="30"/>
          <w:szCs w:val="30"/>
        </w:rPr>
      </w:pPr>
    </w:p>
    <w:p w14:paraId="527A99F9">
      <w:pPr>
        <w:widowControl/>
        <w:shd w:val="clear" w:color="auto" w:fill="FFFFFF"/>
        <w:jc w:val="left"/>
        <w:rPr>
          <w:rFonts w:hint="eastAsia" w:ascii="宋体" w:hAnsi="宋体" w:cs="宋体"/>
          <w:color w:val="333333"/>
          <w:kern w:val="0"/>
          <w:sz w:val="30"/>
          <w:szCs w:val="30"/>
        </w:rPr>
      </w:pPr>
    </w:p>
    <w:p w14:paraId="1B342EA6">
      <w:pPr>
        <w:widowControl/>
        <w:shd w:val="clear" w:color="auto" w:fill="FFFFFF"/>
        <w:jc w:val="left"/>
        <w:rPr>
          <w:rFonts w:hint="eastAsia" w:ascii="宋体" w:hAnsi="宋体" w:cs="宋体"/>
          <w:color w:val="333333"/>
          <w:kern w:val="0"/>
          <w:sz w:val="30"/>
          <w:szCs w:val="30"/>
        </w:rPr>
      </w:pPr>
    </w:p>
    <w:p w14:paraId="2FD0E59E">
      <w:pPr>
        <w:widowControl/>
        <w:shd w:val="clear" w:color="auto" w:fill="FFFFFF"/>
        <w:jc w:val="left"/>
        <w:rPr>
          <w:rFonts w:hint="eastAsia" w:ascii="宋体" w:hAnsi="宋体" w:cs="宋体"/>
          <w:color w:val="333333"/>
          <w:kern w:val="0"/>
          <w:sz w:val="30"/>
          <w:szCs w:val="30"/>
        </w:rPr>
      </w:pPr>
    </w:p>
    <w:p w14:paraId="3F0E7C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fill="FFFFFF"/>
        </w:rPr>
      </w:pPr>
      <w:r>
        <w:rPr>
          <w:rStyle w:val="8"/>
          <w:rFonts w:hint="eastAsia" w:ascii="微软雅黑" w:hAnsi="微软雅黑" w:eastAsia="微软雅黑" w:cs="微软雅黑"/>
          <w:i w:val="0"/>
          <w:caps w:val="0"/>
          <w:color w:val="333333"/>
          <w:spacing w:val="0"/>
          <w:sz w:val="24"/>
          <w:szCs w:val="24"/>
          <w:shd w:val="clear" w:fill="FFFFFF"/>
          <w:lang w:eastAsia="zh-CN"/>
        </w:rPr>
        <w:t>第二部分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年部门决算表</w:t>
      </w:r>
    </w:p>
    <w:p w14:paraId="7FCC36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656955" cy="4691380"/>
            <wp:effectExtent l="0" t="0" r="1079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656955" cy="4691380"/>
                    </a:xfrm>
                    <a:prstGeom prst="rect">
                      <a:avLst/>
                    </a:prstGeom>
                    <a:noFill/>
                    <a:ln>
                      <a:noFill/>
                    </a:ln>
                  </pic:spPr>
                </pic:pic>
              </a:graphicData>
            </a:graphic>
          </wp:inline>
        </w:drawing>
      </w:r>
    </w:p>
    <w:p w14:paraId="1389BA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856345" cy="2708910"/>
            <wp:effectExtent l="0" t="0" r="190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856345" cy="2708910"/>
                    </a:xfrm>
                    <a:prstGeom prst="rect">
                      <a:avLst/>
                    </a:prstGeom>
                    <a:noFill/>
                    <a:ln>
                      <a:noFill/>
                    </a:ln>
                  </pic:spPr>
                </pic:pic>
              </a:graphicData>
            </a:graphic>
          </wp:inline>
        </w:drawing>
      </w:r>
    </w:p>
    <w:p w14:paraId="0C552A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center"/>
      </w:pPr>
      <w:r>
        <w:drawing>
          <wp:inline distT="0" distB="0" distL="114300" distR="114300">
            <wp:extent cx="8797290" cy="19977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797290" cy="1997710"/>
                    </a:xfrm>
                    <a:prstGeom prst="rect">
                      <a:avLst/>
                    </a:prstGeom>
                    <a:noFill/>
                    <a:ln>
                      <a:noFill/>
                    </a:ln>
                  </pic:spPr>
                </pic:pic>
              </a:graphicData>
            </a:graphic>
          </wp:inline>
        </w:drawing>
      </w:r>
    </w:p>
    <w:p w14:paraId="556107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735060" cy="5374640"/>
            <wp:effectExtent l="0" t="0" r="889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735060" cy="5374640"/>
                    </a:xfrm>
                    <a:prstGeom prst="rect">
                      <a:avLst/>
                    </a:prstGeom>
                    <a:noFill/>
                    <a:ln>
                      <a:noFill/>
                    </a:ln>
                  </pic:spPr>
                </pic:pic>
              </a:graphicData>
            </a:graphic>
          </wp:inline>
        </w:drawing>
      </w:r>
    </w:p>
    <w:p w14:paraId="48F398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14:paraId="5A46FF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668385" cy="3438525"/>
            <wp:effectExtent l="0" t="0" r="1841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8668385" cy="3438525"/>
                    </a:xfrm>
                    <a:prstGeom prst="rect">
                      <a:avLst/>
                    </a:prstGeom>
                    <a:noFill/>
                    <a:ln>
                      <a:noFill/>
                    </a:ln>
                  </pic:spPr>
                </pic:pic>
              </a:graphicData>
            </a:graphic>
          </wp:inline>
        </w:drawing>
      </w:r>
    </w:p>
    <w:p w14:paraId="2D83BF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14:paraId="0178E7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14:paraId="767B4C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14:paraId="4EED4E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14:paraId="39E215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710930" cy="5300345"/>
            <wp:effectExtent l="0" t="0" r="1397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8710930" cy="5300345"/>
                    </a:xfrm>
                    <a:prstGeom prst="rect">
                      <a:avLst/>
                    </a:prstGeom>
                    <a:noFill/>
                    <a:ln>
                      <a:noFill/>
                    </a:ln>
                  </pic:spPr>
                </pic:pic>
              </a:graphicData>
            </a:graphic>
          </wp:inline>
        </w:drawing>
      </w:r>
    </w:p>
    <w:p w14:paraId="343BB5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863965" cy="2558415"/>
            <wp:effectExtent l="0" t="0" r="13335"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863965" cy="2558415"/>
                    </a:xfrm>
                    <a:prstGeom prst="rect">
                      <a:avLst/>
                    </a:prstGeom>
                    <a:noFill/>
                    <a:ln>
                      <a:noFill/>
                    </a:ln>
                  </pic:spPr>
                </pic:pic>
              </a:graphicData>
            </a:graphic>
          </wp:inline>
        </w:drawing>
      </w:r>
    </w:p>
    <w:p w14:paraId="6C069A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6345" cy="2468880"/>
            <wp:effectExtent l="0" t="0" r="190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856345" cy="2468880"/>
                    </a:xfrm>
                    <a:prstGeom prst="rect">
                      <a:avLst/>
                    </a:prstGeom>
                    <a:noFill/>
                    <a:ln>
                      <a:noFill/>
                    </a:ln>
                  </pic:spPr>
                </pic:pic>
              </a:graphicData>
            </a:graphic>
          </wp:inline>
        </w:drawing>
      </w:r>
    </w:p>
    <w:p w14:paraId="3CB7FC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480" w:firstLineChars="20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w:t>
      </w:r>
      <w:r>
        <w:rPr>
          <w:rStyle w:val="8"/>
          <w:rFonts w:hint="eastAsia" w:ascii="微软雅黑" w:hAnsi="微软雅黑" w:eastAsia="微软雅黑" w:cs="微软雅黑"/>
          <w:i w:val="0"/>
          <w:caps w:val="0"/>
          <w:color w:val="333333"/>
          <w:spacing w:val="0"/>
          <w:sz w:val="24"/>
          <w:szCs w:val="24"/>
          <w:shd w:val="clear" w:fill="FFFFFF"/>
          <w:lang w:val="en-US" w:eastAsia="zh-CN"/>
        </w:rPr>
        <w:t>8</w:t>
      </w:r>
      <w:r>
        <w:rPr>
          <w:rStyle w:val="8"/>
          <w:rFonts w:hint="eastAsia" w:ascii="微软雅黑" w:hAnsi="微软雅黑" w:eastAsia="微软雅黑" w:cs="微软雅黑"/>
          <w:i w:val="0"/>
          <w:caps w:val="0"/>
          <w:color w:val="333333"/>
          <w:spacing w:val="0"/>
          <w:sz w:val="24"/>
          <w:szCs w:val="24"/>
          <w:shd w:val="clear" w:fill="FFFFFF"/>
        </w:rPr>
        <w:t>年部门决算情况说明</w:t>
      </w:r>
    </w:p>
    <w:p w14:paraId="3F2689C0">
      <w:pPr>
        <w:widowControl/>
        <w:shd w:val="clear" w:color="auto" w:fill="FFFFFF"/>
        <w:spacing w:line="560" w:lineRule="exact"/>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14:paraId="0361BBC2">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1、收入支出与预算对比分析</w:t>
      </w:r>
    </w:p>
    <w:p w14:paraId="6F54283E">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年全年总收入1193728.35元,其中财拔款决算收入1134691.6元(基本支出行政运行1134691.6元),其它收入59036.75元, 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年全年总支出1235861.63元,其中财拔款决算支出1134691.6元(基本支出行政运行1134691.6元),其它资金支出101170.03元,201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年财政预算数815403元，财拔决算比预算多319288.6元,幅度为</w:t>
      </w:r>
      <w:r>
        <w:rPr>
          <w:rFonts w:hint="eastAsia" w:asciiTheme="minorEastAsia" w:hAnsiTheme="minorEastAsia" w:eastAsiaTheme="minorEastAsia" w:cstheme="minorEastAsia"/>
          <w:color w:val="000000"/>
          <w:spacing w:val="2"/>
          <w:sz w:val="28"/>
          <w:szCs w:val="28"/>
          <w:lang w:val="en-US" w:eastAsia="zh-CN"/>
        </w:rPr>
        <w:t>39</w:t>
      </w:r>
      <w:r>
        <w:rPr>
          <w:rFonts w:hint="eastAsia" w:asciiTheme="minorEastAsia" w:hAnsiTheme="minorEastAsia" w:eastAsiaTheme="minorEastAsia" w:cstheme="minorEastAsia"/>
          <w:color w:val="000000"/>
          <w:spacing w:val="2"/>
          <w:sz w:val="28"/>
          <w:szCs w:val="28"/>
        </w:rPr>
        <w:t>%,原因为业务</w:t>
      </w:r>
      <w:r>
        <w:rPr>
          <w:rFonts w:hint="eastAsia" w:asciiTheme="minorEastAsia" w:hAnsiTheme="minorEastAsia" w:cstheme="minorEastAsia"/>
          <w:color w:val="000000"/>
          <w:spacing w:val="2"/>
          <w:sz w:val="28"/>
          <w:szCs w:val="28"/>
          <w:lang w:eastAsia="zh-CN"/>
        </w:rPr>
        <w:t>量</w:t>
      </w:r>
      <w:r>
        <w:rPr>
          <w:rFonts w:hint="eastAsia" w:asciiTheme="minorEastAsia" w:hAnsiTheme="minorEastAsia" w:eastAsiaTheme="minorEastAsia" w:cstheme="minorEastAsia"/>
          <w:color w:val="000000"/>
          <w:spacing w:val="2"/>
          <w:sz w:val="28"/>
          <w:szCs w:val="28"/>
        </w:rPr>
        <w:t>增加。</w:t>
      </w:r>
    </w:p>
    <w:p w14:paraId="783E8240">
      <w:pPr>
        <w:widowControl/>
        <w:shd w:val="clear" w:color="auto" w:fill="FFFFFF"/>
        <w:snapToGrid w:val="0"/>
        <w:spacing w:line="560" w:lineRule="exact"/>
        <w:ind w:firstLine="568" w:firstLineChars="200"/>
        <w:rPr>
          <w:rFonts w:hint="eastAsia" w:asciiTheme="minorEastAsia" w:hAnsiTheme="minorEastAsia" w:eastAsiaTheme="minorEastAsia" w:cstheme="minorEastAsia"/>
          <w:color w:val="000000"/>
          <w:spacing w:val="2"/>
          <w:sz w:val="28"/>
          <w:szCs w:val="28"/>
          <w:lang w:val="en-US" w:eastAsia="zh-CN"/>
        </w:rPr>
      </w:pP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年全年总收入</w:t>
      </w:r>
      <w:r>
        <w:rPr>
          <w:rFonts w:hint="eastAsia" w:asciiTheme="minorEastAsia" w:hAnsiTheme="minorEastAsia" w:eastAsiaTheme="minorEastAsia" w:cstheme="minorEastAsia"/>
          <w:color w:val="333333"/>
          <w:kern w:val="0"/>
          <w:sz w:val="28"/>
          <w:szCs w:val="28"/>
          <w:lang w:val="en-US" w:eastAsia="zh-CN"/>
        </w:rPr>
        <w:t>156.95</w:t>
      </w:r>
      <w:r>
        <w:rPr>
          <w:rFonts w:hint="eastAsia" w:asciiTheme="minorEastAsia" w:hAnsiTheme="minorEastAsia" w:eastAsiaTheme="minorEastAsia" w:cstheme="minorEastAsia"/>
          <w:color w:val="333333"/>
          <w:kern w:val="0"/>
          <w:sz w:val="28"/>
          <w:szCs w:val="28"/>
        </w:rPr>
        <w:t>万元</w:t>
      </w:r>
      <w:r>
        <w:rPr>
          <w:rFonts w:hint="eastAsia" w:asciiTheme="minorEastAsia" w:hAnsiTheme="minorEastAsia" w:eastAsiaTheme="minorEastAsia" w:cstheme="minorEastAsia"/>
          <w:color w:val="000000"/>
          <w:spacing w:val="2"/>
          <w:sz w:val="28"/>
          <w:szCs w:val="28"/>
        </w:rPr>
        <w:t>,其中财拔款决算收入</w:t>
      </w:r>
      <w:r>
        <w:rPr>
          <w:rFonts w:hint="eastAsia" w:asciiTheme="minorEastAsia" w:hAnsiTheme="minorEastAsia" w:eastAsiaTheme="minorEastAsia" w:cstheme="minorEastAsia"/>
          <w:color w:val="333333"/>
          <w:kern w:val="0"/>
          <w:sz w:val="28"/>
          <w:szCs w:val="28"/>
          <w:lang w:val="en-US" w:eastAsia="zh-CN"/>
        </w:rPr>
        <w:t>135.53</w:t>
      </w:r>
      <w:r>
        <w:rPr>
          <w:rFonts w:hint="eastAsia" w:asciiTheme="minorEastAsia" w:hAnsiTheme="minorEastAsia" w:eastAsiaTheme="minorEastAsia" w:cstheme="minorEastAsia"/>
          <w:color w:val="333333"/>
          <w:kern w:val="0"/>
          <w:sz w:val="28"/>
          <w:szCs w:val="28"/>
        </w:rPr>
        <w:t>万元，</w:t>
      </w:r>
      <w:r>
        <w:rPr>
          <w:rFonts w:hint="eastAsia" w:asciiTheme="minorEastAsia" w:hAnsiTheme="minorEastAsia" w:eastAsiaTheme="minorEastAsia" w:cstheme="minorEastAsia"/>
          <w:color w:val="000000"/>
          <w:spacing w:val="2"/>
          <w:sz w:val="28"/>
          <w:szCs w:val="28"/>
        </w:rPr>
        <w:t>其它收入</w:t>
      </w:r>
      <w:r>
        <w:rPr>
          <w:rFonts w:hint="eastAsia" w:asciiTheme="minorEastAsia" w:hAnsiTheme="minorEastAsia" w:eastAsiaTheme="minorEastAsia" w:cstheme="minorEastAsia"/>
          <w:color w:val="000000"/>
          <w:spacing w:val="2"/>
          <w:sz w:val="28"/>
          <w:szCs w:val="28"/>
          <w:lang w:val="en-US" w:eastAsia="zh-CN"/>
        </w:rPr>
        <w:t>21.42</w:t>
      </w:r>
      <w:r>
        <w:rPr>
          <w:rFonts w:hint="eastAsia" w:asciiTheme="minorEastAsia" w:hAnsiTheme="minorEastAsia" w:eastAsiaTheme="minorEastAsia" w:cstheme="minorEastAsia"/>
          <w:color w:val="000000"/>
          <w:spacing w:val="2"/>
          <w:sz w:val="28"/>
          <w:szCs w:val="28"/>
        </w:rPr>
        <w:t>万元, 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年全年总支出</w:t>
      </w:r>
      <w:r>
        <w:rPr>
          <w:rFonts w:hint="eastAsia" w:asciiTheme="minorEastAsia" w:hAnsiTheme="minorEastAsia" w:eastAsiaTheme="minorEastAsia" w:cstheme="minorEastAsia"/>
          <w:color w:val="333333"/>
          <w:kern w:val="0"/>
          <w:sz w:val="28"/>
          <w:szCs w:val="28"/>
        </w:rPr>
        <w:t>1</w:t>
      </w:r>
      <w:r>
        <w:rPr>
          <w:rFonts w:hint="eastAsia" w:asciiTheme="minorEastAsia" w:hAnsiTheme="minorEastAsia" w:eastAsiaTheme="minorEastAsia" w:cstheme="minorEastAsia"/>
          <w:color w:val="333333"/>
          <w:kern w:val="0"/>
          <w:sz w:val="28"/>
          <w:szCs w:val="28"/>
          <w:lang w:val="en-US" w:eastAsia="zh-CN"/>
        </w:rPr>
        <w:t>56.38</w:t>
      </w:r>
      <w:r>
        <w:rPr>
          <w:rFonts w:hint="eastAsia" w:asciiTheme="minorEastAsia" w:hAnsiTheme="minorEastAsia" w:eastAsiaTheme="minorEastAsia" w:cstheme="minorEastAsia"/>
          <w:color w:val="333333"/>
          <w:kern w:val="0"/>
          <w:sz w:val="28"/>
          <w:szCs w:val="28"/>
        </w:rPr>
        <w:t>万元</w:t>
      </w:r>
      <w:r>
        <w:rPr>
          <w:rFonts w:hint="eastAsia" w:asciiTheme="minorEastAsia" w:hAnsiTheme="minorEastAsia" w:eastAsiaTheme="minorEastAsia" w:cstheme="minorEastAsia"/>
          <w:color w:val="000000"/>
          <w:spacing w:val="2"/>
          <w:sz w:val="28"/>
          <w:szCs w:val="28"/>
        </w:rPr>
        <w:t>,</w:t>
      </w:r>
      <w:r>
        <w:rPr>
          <w:rFonts w:hint="eastAsia" w:asciiTheme="minorEastAsia" w:hAnsiTheme="minorEastAsia" w:eastAsiaTheme="minorEastAsia" w:cstheme="minorEastAsia"/>
          <w:color w:val="000000"/>
          <w:spacing w:val="2"/>
          <w:sz w:val="28"/>
          <w:szCs w:val="28"/>
          <w:lang w:eastAsia="zh-CN"/>
        </w:rPr>
        <w:t>其中</w:t>
      </w:r>
      <w:r>
        <w:rPr>
          <w:rFonts w:hint="eastAsia" w:asciiTheme="minorEastAsia" w:hAnsiTheme="minorEastAsia" w:cstheme="minorEastAsia"/>
          <w:color w:val="000000"/>
          <w:spacing w:val="2"/>
          <w:sz w:val="28"/>
          <w:szCs w:val="28"/>
          <w:lang w:eastAsia="zh-CN"/>
        </w:rPr>
        <w:t>财政拨款</w:t>
      </w:r>
      <w:r>
        <w:rPr>
          <w:rFonts w:hint="eastAsia" w:asciiTheme="minorEastAsia" w:hAnsiTheme="minorEastAsia" w:eastAsiaTheme="minorEastAsia" w:cstheme="minorEastAsia"/>
          <w:color w:val="000000"/>
          <w:spacing w:val="2"/>
          <w:sz w:val="28"/>
          <w:szCs w:val="28"/>
          <w:lang w:eastAsia="zh-CN"/>
        </w:rPr>
        <w:t>决算支出</w:t>
      </w:r>
      <w:r>
        <w:rPr>
          <w:rFonts w:hint="eastAsia" w:asciiTheme="minorEastAsia" w:hAnsiTheme="minorEastAsia" w:eastAsiaTheme="minorEastAsia" w:cstheme="minorEastAsia"/>
          <w:color w:val="000000"/>
          <w:spacing w:val="2"/>
          <w:sz w:val="28"/>
          <w:szCs w:val="28"/>
          <w:lang w:val="en-US" w:eastAsia="zh-CN"/>
        </w:rPr>
        <w:t>135.54</w:t>
      </w:r>
      <w:r>
        <w:rPr>
          <w:rFonts w:hint="eastAsia" w:asciiTheme="minorEastAsia" w:hAnsiTheme="minorEastAsia" w:eastAsiaTheme="minorEastAsia" w:cstheme="minorEastAsia"/>
          <w:color w:val="333333"/>
          <w:kern w:val="0"/>
          <w:sz w:val="28"/>
          <w:szCs w:val="28"/>
        </w:rPr>
        <w:t>万元</w:t>
      </w:r>
      <w:r>
        <w:rPr>
          <w:rFonts w:hint="eastAsia" w:asciiTheme="minorEastAsia" w:hAnsiTheme="minorEastAsia" w:eastAsiaTheme="minorEastAsia" w:cstheme="minorEastAsia"/>
          <w:color w:val="000000"/>
          <w:spacing w:val="2"/>
          <w:sz w:val="28"/>
          <w:szCs w:val="28"/>
          <w:lang w:val="en-US" w:eastAsia="zh-CN"/>
        </w:rPr>
        <w:t>（</w:t>
      </w:r>
      <w:r>
        <w:rPr>
          <w:rFonts w:hint="eastAsia" w:asciiTheme="minorEastAsia" w:hAnsiTheme="minorEastAsia" w:eastAsiaTheme="minorEastAsia" w:cstheme="minorEastAsia"/>
          <w:color w:val="333333"/>
          <w:kern w:val="0"/>
          <w:sz w:val="28"/>
          <w:szCs w:val="28"/>
        </w:rPr>
        <w:t>工资福利支出</w:t>
      </w:r>
      <w:r>
        <w:rPr>
          <w:rFonts w:hint="eastAsia" w:asciiTheme="minorEastAsia" w:hAnsiTheme="minorEastAsia" w:eastAsiaTheme="minorEastAsia" w:cstheme="minorEastAsia"/>
          <w:color w:val="333333"/>
          <w:kern w:val="0"/>
          <w:sz w:val="28"/>
          <w:szCs w:val="28"/>
          <w:lang w:val="en-US" w:eastAsia="zh-CN"/>
        </w:rPr>
        <w:t>67.97</w:t>
      </w:r>
      <w:r>
        <w:rPr>
          <w:rFonts w:hint="eastAsia" w:asciiTheme="minorEastAsia" w:hAnsiTheme="minorEastAsia" w:eastAsiaTheme="minorEastAsia" w:cstheme="minorEastAsia"/>
          <w:color w:val="333333"/>
          <w:kern w:val="0"/>
          <w:sz w:val="28"/>
          <w:szCs w:val="28"/>
        </w:rPr>
        <w:t>万元，占总支出的</w:t>
      </w:r>
      <w:r>
        <w:rPr>
          <w:rFonts w:hint="eastAsia" w:asciiTheme="minorEastAsia" w:hAnsiTheme="minorEastAsia" w:eastAsiaTheme="minorEastAsia" w:cstheme="minorEastAsia"/>
          <w:color w:val="333333"/>
          <w:kern w:val="0"/>
          <w:sz w:val="28"/>
          <w:szCs w:val="28"/>
          <w:lang w:val="en-US" w:eastAsia="zh-CN"/>
        </w:rPr>
        <w:t>43.46</w:t>
      </w:r>
      <w:r>
        <w:rPr>
          <w:rFonts w:hint="eastAsia" w:asciiTheme="minorEastAsia" w:hAnsiTheme="minorEastAsia" w:eastAsiaTheme="minorEastAsia" w:cstheme="minorEastAsia"/>
          <w:color w:val="333333"/>
          <w:kern w:val="0"/>
          <w:sz w:val="28"/>
          <w:szCs w:val="28"/>
        </w:rPr>
        <w:t>%;商品和服务支出</w:t>
      </w:r>
      <w:r>
        <w:rPr>
          <w:rFonts w:hint="eastAsia" w:asciiTheme="minorEastAsia" w:hAnsiTheme="minorEastAsia" w:eastAsiaTheme="minorEastAsia" w:cstheme="minorEastAsia"/>
          <w:color w:val="333333"/>
          <w:kern w:val="0"/>
          <w:sz w:val="28"/>
          <w:szCs w:val="28"/>
          <w:lang w:val="en-US" w:eastAsia="zh-CN"/>
        </w:rPr>
        <w:t>55.9</w:t>
      </w:r>
      <w:r>
        <w:rPr>
          <w:rFonts w:hint="eastAsia" w:asciiTheme="minorEastAsia" w:hAnsiTheme="minorEastAsia" w:cstheme="minorEastAsia"/>
          <w:color w:val="333333"/>
          <w:kern w:val="0"/>
          <w:sz w:val="28"/>
          <w:szCs w:val="28"/>
          <w:lang w:val="en-US" w:eastAsia="zh-CN"/>
        </w:rPr>
        <w:t>万元</w:t>
      </w:r>
      <w:r>
        <w:rPr>
          <w:rFonts w:hint="eastAsia" w:asciiTheme="minorEastAsia" w:hAnsiTheme="minorEastAsia" w:eastAsiaTheme="minorEastAsia" w:cstheme="minorEastAsia"/>
          <w:color w:val="333333"/>
          <w:kern w:val="0"/>
          <w:sz w:val="28"/>
          <w:szCs w:val="28"/>
        </w:rPr>
        <w:t>，占总支出的</w:t>
      </w:r>
      <w:r>
        <w:rPr>
          <w:rFonts w:hint="eastAsia" w:asciiTheme="minorEastAsia" w:hAnsiTheme="minorEastAsia" w:eastAsiaTheme="minorEastAsia" w:cstheme="minorEastAsia"/>
          <w:color w:val="333333"/>
          <w:kern w:val="0"/>
          <w:sz w:val="28"/>
          <w:szCs w:val="28"/>
          <w:lang w:val="en-US" w:eastAsia="zh-CN"/>
        </w:rPr>
        <w:t>35.76</w:t>
      </w:r>
      <w:r>
        <w:rPr>
          <w:rFonts w:hint="eastAsia" w:asciiTheme="minorEastAsia" w:hAnsiTheme="minorEastAsia" w:eastAsiaTheme="minorEastAsia" w:cstheme="minorEastAsia"/>
          <w:color w:val="333333"/>
          <w:kern w:val="0"/>
          <w:sz w:val="28"/>
          <w:szCs w:val="28"/>
        </w:rPr>
        <w:t>%;对个人和家庭的补助支出</w:t>
      </w:r>
      <w:r>
        <w:rPr>
          <w:rFonts w:hint="eastAsia" w:asciiTheme="minorEastAsia" w:hAnsiTheme="minorEastAsia" w:eastAsiaTheme="minorEastAsia" w:cstheme="minorEastAsia"/>
          <w:color w:val="333333"/>
          <w:kern w:val="0"/>
          <w:sz w:val="28"/>
          <w:szCs w:val="28"/>
          <w:lang w:val="en-US" w:eastAsia="zh-CN"/>
        </w:rPr>
        <w:t>10.71</w:t>
      </w:r>
      <w:r>
        <w:rPr>
          <w:rFonts w:hint="eastAsia" w:asciiTheme="minorEastAsia" w:hAnsiTheme="minorEastAsia" w:eastAsiaTheme="minorEastAsia" w:cstheme="minorEastAsia"/>
          <w:color w:val="333333"/>
          <w:kern w:val="0"/>
          <w:sz w:val="28"/>
          <w:szCs w:val="28"/>
        </w:rPr>
        <w:t>万元，占总支出的</w:t>
      </w:r>
      <w:r>
        <w:rPr>
          <w:rFonts w:hint="eastAsia" w:asciiTheme="minorEastAsia" w:hAnsiTheme="minorEastAsia" w:eastAsiaTheme="minorEastAsia" w:cstheme="minorEastAsia"/>
          <w:color w:val="333333"/>
          <w:kern w:val="0"/>
          <w:sz w:val="28"/>
          <w:szCs w:val="28"/>
          <w:lang w:val="en-US" w:eastAsia="zh-CN"/>
        </w:rPr>
        <w:t>6.84</w:t>
      </w:r>
      <w:r>
        <w:rPr>
          <w:rFonts w:hint="eastAsia" w:asciiTheme="minorEastAsia" w:hAnsiTheme="minorEastAsia" w:eastAsiaTheme="minorEastAsia" w:cstheme="minorEastAsia"/>
          <w:color w:val="333333"/>
          <w:kern w:val="0"/>
          <w:sz w:val="28"/>
          <w:szCs w:val="28"/>
        </w:rPr>
        <w:t>%;其他资本性支出0.</w:t>
      </w:r>
      <w:r>
        <w:rPr>
          <w:rFonts w:hint="eastAsia" w:asciiTheme="minorEastAsia" w:hAnsiTheme="minorEastAsia" w:eastAsiaTheme="minorEastAsia" w:cstheme="minorEastAsia"/>
          <w:color w:val="333333"/>
          <w:kern w:val="0"/>
          <w:sz w:val="28"/>
          <w:szCs w:val="28"/>
          <w:lang w:val="en-US" w:eastAsia="zh-CN"/>
        </w:rPr>
        <w:t>96</w:t>
      </w:r>
      <w:r>
        <w:rPr>
          <w:rFonts w:hint="eastAsia" w:asciiTheme="minorEastAsia" w:hAnsiTheme="minorEastAsia" w:eastAsiaTheme="minorEastAsia" w:cstheme="minorEastAsia"/>
          <w:color w:val="333333"/>
          <w:kern w:val="0"/>
          <w:sz w:val="28"/>
          <w:szCs w:val="28"/>
        </w:rPr>
        <w:t>万元，占总支出的</w:t>
      </w:r>
      <w:r>
        <w:rPr>
          <w:rFonts w:hint="eastAsia" w:asciiTheme="minorEastAsia" w:hAnsiTheme="minorEastAsia" w:eastAsiaTheme="minorEastAsia" w:cstheme="minorEastAsia"/>
          <w:color w:val="333333"/>
          <w:kern w:val="0"/>
          <w:sz w:val="28"/>
          <w:szCs w:val="28"/>
          <w:lang w:val="en-US" w:eastAsia="zh-CN"/>
        </w:rPr>
        <w:t>0.61%</w:t>
      </w:r>
      <w:r>
        <w:rPr>
          <w:rFonts w:hint="eastAsia" w:asciiTheme="minorEastAsia" w:hAnsiTheme="minorEastAsia" w:eastAsiaTheme="minorEastAsia" w:cstheme="minorEastAsia"/>
          <w:color w:val="000000"/>
          <w:spacing w:val="2"/>
          <w:sz w:val="28"/>
          <w:szCs w:val="28"/>
          <w:lang w:val="en-US" w:eastAsia="zh-CN"/>
        </w:rPr>
        <w:t>），</w:t>
      </w:r>
      <w:r>
        <w:rPr>
          <w:rFonts w:hint="eastAsia" w:asciiTheme="minorEastAsia" w:hAnsiTheme="minorEastAsia" w:eastAsiaTheme="minorEastAsia" w:cstheme="minorEastAsia"/>
          <w:color w:val="333333"/>
          <w:kern w:val="0"/>
          <w:sz w:val="28"/>
          <w:szCs w:val="28"/>
          <w:lang w:eastAsia="zh-CN"/>
        </w:rPr>
        <w:t>其他支出</w:t>
      </w:r>
      <w:r>
        <w:rPr>
          <w:rFonts w:hint="eastAsia" w:asciiTheme="minorEastAsia" w:hAnsiTheme="minorEastAsia" w:eastAsiaTheme="minorEastAsia" w:cstheme="minorEastAsia"/>
          <w:color w:val="333333"/>
          <w:kern w:val="0"/>
          <w:sz w:val="28"/>
          <w:szCs w:val="28"/>
          <w:lang w:val="en-US" w:eastAsia="zh-CN"/>
        </w:rPr>
        <w:t>20.84万元，</w:t>
      </w:r>
      <w:r>
        <w:rPr>
          <w:rFonts w:hint="eastAsia" w:asciiTheme="minorEastAsia" w:hAnsiTheme="minorEastAsia" w:eastAsiaTheme="minorEastAsia" w:cstheme="minorEastAsia"/>
          <w:color w:val="333333"/>
          <w:kern w:val="0"/>
          <w:sz w:val="28"/>
          <w:szCs w:val="28"/>
        </w:rPr>
        <w:t>占总支出的</w:t>
      </w:r>
      <w:r>
        <w:rPr>
          <w:rFonts w:hint="eastAsia" w:asciiTheme="minorEastAsia" w:hAnsiTheme="minorEastAsia" w:eastAsiaTheme="minorEastAsia" w:cstheme="minorEastAsia"/>
          <w:color w:val="333333"/>
          <w:kern w:val="0"/>
          <w:sz w:val="28"/>
          <w:szCs w:val="28"/>
          <w:lang w:val="en-US" w:eastAsia="zh-CN"/>
        </w:rPr>
        <w:t>13.32</w:t>
      </w: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color w:val="333333"/>
          <w:kern w:val="0"/>
          <w:sz w:val="28"/>
          <w:szCs w:val="28"/>
          <w:lang w:val="en-US" w:eastAsia="zh-CN"/>
        </w:rPr>
        <w:t>。</w:t>
      </w:r>
    </w:p>
    <w:p w14:paraId="16D125D2">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2、收入支出结构分析</w:t>
      </w:r>
    </w:p>
    <w:p w14:paraId="7E2744CA">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年全年总收入1193728.35元,其中财拔款决算收入1134691.6元(基本支出行政运行1134691.6元),其它收入59036.75元, 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年全年总支出1235861.63元,其中财拔款决算支出1134691.6元(基本支出行政运行1134691.6元),其它资金支出101170.03元。</w:t>
      </w:r>
    </w:p>
    <w:p w14:paraId="7B0B1BBE">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年总支出为1</w:t>
      </w:r>
      <w:r>
        <w:rPr>
          <w:rFonts w:hint="eastAsia" w:asciiTheme="minorEastAsia" w:hAnsiTheme="minorEastAsia" w:eastAsiaTheme="minorEastAsia" w:cstheme="minorEastAsia"/>
          <w:color w:val="000000"/>
          <w:spacing w:val="2"/>
          <w:sz w:val="28"/>
          <w:szCs w:val="28"/>
          <w:lang w:val="en-US" w:eastAsia="zh-CN"/>
        </w:rPr>
        <w:t>56.38</w:t>
      </w:r>
      <w:r>
        <w:rPr>
          <w:rFonts w:hint="eastAsia" w:asciiTheme="minorEastAsia" w:hAnsiTheme="minorEastAsia" w:eastAsiaTheme="minorEastAsia" w:cstheme="minorEastAsia"/>
          <w:color w:val="000000"/>
          <w:spacing w:val="2"/>
          <w:sz w:val="28"/>
          <w:szCs w:val="28"/>
        </w:rPr>
        <w:t>万元。</w:t>
      </w:r>
      <w:r>
        <w:rPr>
          <w:rFonts w:hint="eastAsia" w:asciiTheme="minorEastAsia" w:hAnsiTheme="minorEastAsia" w:eastAsiaTheme="minorEastAsia" w:cstheme="minorEastAsia"/>
          <w:color w:val="000000"/>
          <w:spacing w:val="2"/>
          <w:sz w:val="28"/>
          <w:szCs w:val="28"/>
          <w:lang w:eastAsia="zh-CN"/>
        </w:rPr>
        <w:t>其中：</w:t>
      </w:r>
      <w:r>
        <w:rPr>
          <w:rFonts w:hint="eastAsia" w:asciiTheme="minorEastAsia" w:hAnsiTheme="minorEastAsia" w:eastAsiaTheme="minorEastAsia" w:cstheme="minorEastAsia"/>
          <w:color w:val="000000"/>
          <w:spacing w:val="2"/>
          <w:sz w:val="28"/>
          <w:szCs w:val="28"/>
        </w:rPr>
        <w:t>工资福利支出</w:t>
      </w:r>
      <w:r>
        <w:rPr>
          <w:rFonts w:hint="eastAsia" w:asciiTheme="minorEastAsia" w:hAnsiTheme="minorEastAsia" w:eastAsiaTheme="minorEastAsia" w:cstheme="minorEastAsia"/>
          <w:color w:val="000000"/>
          <w:spacing w:val="2"/>
          <w:sz w:val="28"/>
          <w:szCs w:val="28"/>
          <w:lang w:val="en-US" w:eastAsia="zh-CN"/>
        </w:rPr>
        <w:t>67.97</w:t>
      </w:r>
      <w:r>
        <w:rPr>
          <w:rFonts w:hint="eastAsia" w:asciiTheme="minorEastAsia" w:hAnsiTheme="minorEastAsia" w:eastAsiaTheme="minorEastAsia" w:cstheme="minorEastAsia"/>
          <w:color w:val="000000"/>
          <w:spacing w:val="2"/>
          <w:sz w:val="28"/>
          <w:szCs w:val="28"/>
        </w:rPr>
        <w:t>万元，占总支出的</w:t>
      </w:r>
      <w:r>
        <w:rPr>
          <w:rFonts w:hint="eastAsia" w:asciiTheme="minorEastAsia" w:hAnsiTheme="minorEastAsia" w:eastAsiaTheme="minorEastAsia" w:cstheme="minorEastAsia"/>
          <w:color w:val="000000"/>
          <w:spacing w:val="2"/>
          <w:sz w:val="28"/>
          <w:szCs w:val="28"/>
          <w:lang w:val="en-US" w:eastAsia="zh-CN"/>
        </w:rPr>
        <w:t>43.46</w:t>
      </w:r>
      <w:r>
        <w:rPr>
          <w:rFonts w:hint="eastAsia" w:asciiTheme="minorEastAsia" w:hAnsiTheme="minorEastAsia" w:eastAsiaTheme="minorEastAsia" w:cstheme="minorEastAsia"/>
          <w:color w:val="000000"/>
          <w:spacing w:val="2"/>
          <w:sz w:val="28"/>
          <w:szCs w:val="28"/>
        </w:rPr>
        <w:t>%;商品和服务支出</w:t>
      </w:r>
      <w:r>
        <w:rPr>
          <w:rFonts w:hint="eastAsia" w:asciiTheme="minorEastAsia" w:hAnsiTheme="minorEastAsia" w:eastAsiaTheme="minorEastAsia" w:cstheme="minorEastAsia"/>
          <w:color w:val="000000"/>
          <w:spacing w:val="2"/>
          <w:sz w:val="28"/>
          <w:szCs w:val="28"/>
          <w:lang w:val="en-US" w:eastAsia="zh-CN"/>
        </w:rPr>
        <w:t>55.90</w:t>
      </w:r>
      <w:r>
        <w:rPr>
          <w:rFonts w:hint="eastAsia" w:asciiTheme="minorEastAsia" w:hAnsiTheme="minorEastAsia" w:eastAsiaTheme="minorEastAsia" w:cstheme="minorEastAsia"/>
          <w:color w:val="000000"/>
          <w:spacing w:val="2"/>
          <w:sz w:val="28"/>
          <w:szCs w:val="28"/>
        </w:rPr>
        <w:t>万元，占总支出的</w:t>
      </w:r>
      <w:r>
        <w:rPr>
          <w:rFonts w:hint="eastAsia" w:asciiTheme="minorEastAsia" w:hAnsiTheme="minorEastAsia" w:eastAsiaTheme="minorEastAsia" w:cstheme="minorEastAsia"/>
          <w:color w:val="000000"/>
          <w:spacing w:val="2"/>
          <w:sz w:val="28"/>
          <w:szCs w:val="28"/>
          <w:lang w:val="en-US" w:eastAsia="zh-CN"/>
        </w:rPr>
        <w:t>35.76</w:t>
      </w:r>
      <w:r>
        <w:rPr>
          <w:rFonts w:hint="eastAsia" w:asciiTheme="minorEastAsia" w:hAnsiTheme="minorEastAsia" w:eastAsiaTheme="minorEastAsia" w:cstheme="minorEastAsia"/>
          <w:color w:val="000000"/>
          <w:spacing w:val="2"/>
          <w:sz w:val="28"/>
          <w:szCs w:val="28"/>
        </w:rPr>
        <w:t>%;对个人和家庭的补助支出</w:t>
      </w:r>
      <w:r>
        <w:rPr>
          <w:rFonts w:hint="eastAsia" w:asciiTheme="minorEastAsia" w:hAnsiTheme="minorEastAsia" w:eastAsiaTheme="minorEastAsia" w:cstheme="minorEastAsia"/>
          <w:color w:val="000000"/>
          <w:spacing w:val="2"/>
          <w:sz w:val="28"/>
          <w:szCs w:val="28"/>
          <w:lang w:val="en-US" w:eastAsia="zh-CN"/>
        </w:rPr>
        <w:t>10.71</w:t>
      </w:r>
      <w:r>
        <w:rPr>
          <w:rFonts w:hint="eastAsia" w:asciiTheme="minorEastAsia" w:hAnsiTheme="minorEastAsia" w:eastAsiaTheme="minorEastAsia" w:cstheme="minorEastAsia"/>
          <w:color w:val="000000"/>
          <w:spacing w:val="2"/>
          <w:sz w:val="28"/>
          <w:szCs w:val="28"/>
        </w:rPr>
        <w:t>万元，占总支出的</w:t>
      </w:r>
      <w:r>
        <w:rPr>
          <w:rFonts w:hint="eastAsia" w:asciiTheme="minorEastAsia" w:hAnsiTheme="minorEastAsia" w:eastAsiaTheme="minorEastAsia" w:cstheme="minorEastAsia"/>
          <w:color w:val="000000"/>
          <w:spacing w:val="2"/>
          <w:sz w:val="28"/>
          <w:szCs w:val="28"/>
          <w:lang w:val="en-US" w:eastAsia="zh-CN"/>
        </w:rPr>
        <w:t>6.84</w:t>
      </w:r>
      <w:r>
        <w:rPr>
          <w:rFonts w:hint="eastAsia" w:asciiTheme="minorEastAsia" w:hAnsiTheme="minorEastAsia" w:eastAsiaTheme="minorEastAsia" w:cstheme="minorEastAsia"/>
          <w:color w:val="000000"/>
          <w:spacing w:val="2"/>
          <w:sz w:val="28"/>
          <w:szCs w:val="28"/>
        </w:rPr>
        <w:t>%;其他资本性支出0.</w:t>
      </w:r>
      <w:r>
        <w:rPr>
          <w:rFonts w:hint="eastAsia" w:asciiTheme="minorEastAsia" w:hAnsiTheme="minorEastAsia" w:eastAsiaTheme="minorEastAsia" w:cstheme="minorEastAsia"/>
          <w:color w:val="000000"/>
          <w:spacing w:val="2"/>
          <w:sz w:val="28"/>
          <w:szCs w:val="28"/>
          <w:lang w:val="en-US" w:eastAsia="zh-CN"/>
        </w:rPr>
        <w:t>96</w:t>
      </w:r>
      <w:r>
        <w:rPr>
          <w:rFonts w:hint="eastAsia" w:asciiTheme="minorEastAsia" w:hAnsiTheme="minorEastAsia" w:eastAsiaTheme="minorEastAsia" w:cstheme="minorEastAsia"/>
          <w:color w:val="000000"/>
          <w:spacing w:val="2"/>
          <w:sz w:val="28"/>
          <w:szCs w:val="28"/>
        </w:rPr>
        <w:t>万元，占总支出的</w:t>
      </w:r>
      <w:r>
        <w:rPr>
          <w:rFonts w:hint="eastAsia" w:asciiTheme="minorEastAsia" w:hAnsiTheme="minorEastAsia" w:eastAsiaTheme="minorEastAsia" w:cstheme="minorEastAsia"/>
          <w:color w:val="000000"/>
          <w:spacing w:val="2"/>
          <w:sz w:val="28"/>
          <w:szCs w:val="28"/>
          <w:lang w:val="en-US" w:eastAsia="zh-CN"/>
        </w:rPr>
        <w:t>0.61%；</w:t>
      </w:r>
      <w:r>
        <w:rPr>
          <w:rFonts w:hint="eastAsia" w:asciiTheme="minorEastAsia" w:hAnsiTheme="minorEastAsia" w:eastAsiaTheme="minorEastAsia" w:cstheme="minorEastAsia"/>
          <w:color w:val="000000"/>
          <w:spacing w:val="2"/>
          <w:sz w:val="28"/>
          <w:szCs w:val="28"/>
          <w:lang w:eastAsia="zh-CN"/>
        </w:rPr>
        <w:t>其他支出</w:t>
      </w:r>
      <w:r>
        <w:rPr>
          <w:rFonts w:hint="eastAsia" w:asciiTheme="minorEastAsia" w:hAnsiTheme="minorEastAsia" w:eastAsiaTheme="minorEastAsia" w:cstheme="minorEastAsia"/>
          <w:color w:val="000000"/>
          <w:spacing w:val="2"/>
          <w:sz w:val="28"/>
          <w:szCs w:val="28"/>
          <w:lang w:val="en-US" w:eastAsia="zh-CN"/>
        </w:rPr>
        <w:t>20.84万元，</w:t>
      </w:r>
      <w:r>
        <w:rPr>
          <w:rFonts w:hint="eastAsia" w:asciiTheme="minorEastAsia" w:hAnsiTheme="minorEastAsia" w:eastAsiaTheme="minorEastAsia" w:cstheme="minorEastAsia"/>
          <w:color w:val="000000"/>
          <w:spacing w:val="2"/>
          <w:sz w:val="28"/>
          <w:szCs w:val="28"/>
        </w:rPr>
        <w:t>占总支出的</w:t>
      </w:r>
      <w:r>
        <w:rPr>
          <w:rFonts w:hint="eastAsia" w:asciiTheme="minorEastAsia" w:hAnsiTheme="minorEastAsia" w:eastAsiaTheme="minorEastAsia" w:cstheme="minorEastAsia"/>
          <w:color w:val="000000"/>
          <w:spacing w:val="2"/>
          <w:sz w:val="28"/>
          <w:szCs w:val="28"/>
          <w:lang w:val="en-US" w:eastAsia="zh-CN"/>
        </w:rPr>
        <w:t>13.32</w:t>
      </w:r>
      <w:r>
        <w:rPr>
          <w:rFonts w:hint="eastAsia" w:asciiTheme="minorEastAsia" w:hAnsiTheme="minorEastAsia" w:eastAsiaTheme="minorEastAsia" w:cstheme="minorEastAsia"/>
          <w:color w:val="000000"/>
          <w:spacing w:val="2"/>
          <w:sz w:val="28"/>
          <w:szCs w:val="28"/>
        </w:rPr>
        <w:t>%</w:t>
      </w:r>
      <w:r>
        <w:rPr>
          <w:rFonts w:hint="eastAsia" w:asciiTheme="minorEastAsia" w:hAnsiTheme="minorEastAsia" w:eastAsiaTheme="minorEastAsia" w:cstheme="minorEastAsia"/>
          <w:color w:val="000000"/>
          <w:spacing w:val="2"/>
          <w:sz w:val="28"/>
          <w:szCs w:val="28"/>
          <w:lang w:val="en-US" w:eastAsia="zh-CN"/>
        </w:rPr>
        <w:t>。</w:t>
      </w:r>
    </w:p>
    <w:p w14:paraId="308BF64A">
      <w:pPr>
        <w:spacing w:line="560" w:lineRule="exact"/>
        <w:ind w:firstLine="570" w:firstLineChars="200"/>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（二）关于“三公”经费支出说明</w:t>
      </w:r>
    </w:p>
    <w:p w14:paraId="539EBDDF">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年决算公务车运行维护费0元，201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年决算公务车运行维护费0元，201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年决算公务接待费为0元，201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年决算公务接待数为0万元</w:t>
      </w:r>
      <w:r>
        <w:rPr>
          <w:rFonts w:hint="eastAsia" w:asciiTheme="minorEastAsia" w:hAnsiTheme="minorEastAsia" w:cstheme="minorEastAsia"/>
          <w:color w:val="000000"/>
          <w:spacing w:val="2"/>
          <w:sz w:val="28"/>
          <w:szCs w:val="28"/>
          <w:lang w:val="en-US" w:eastAsia="zh-CN"/>
        </w:rPr>
        <w:t>;</w:t>
      </w: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年决算会议费为0万元, 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年决算会议费为0万元</w:t>
      </w:r>
      <w:r>
        <w:rPr>
          <w:rFonts w:hint="eastAsia" w:asciiTheme="minorEastAsia" w:hAnsiTheme="minorEastAsia" w:cstheme="minorEastAsia"/>
          <w:color w:val="000000"/>
          <w:spacing w:val="2"/>
          <w:sz w:val="28"/>
          <w:szCs w:val="28"/>
          <w:lang w:val="en-US" w:eastAsia="zh-CN"/>
        </w:rPr>
        <w:t>;</w:t>
      </w: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年决算培训费为</w:t>
      </w:r>
      <w:r>
        <w:rPr>
          <w:rFonts w:hint="eastAsia" w:asciiTheme="minorEastAsia" w:hAnsiTheme="minorEastAsia" w:eastAsiaTheme="minorEastAsia" w:cstheme="minorEastAsia"/>
          <w:color w:val="000000"/>
          <w:spacing w:val="2"/>
          <w:sz w:val="28"/>
          <w:szCs w:val="28"/>
          <w:lang w:val="en-US" w:eastAsia="zh-CN"/>
        </w:rPr>
        <w:t>0</w:t>
      </w:r>
      <w:r>
        <w:rPr>
          <w:rFonts w:hint="eastAsia" w:asciiTheme="minorEastAsia" w:hAnsiTheme="minorEastAsia" w:eastAsiaTheme="minorEastAsia" w:cstheme="minorEastAsia"/>
          <w:color w:val="000000"/>
          <w:spacing w:val="2"/>
          <w:sz w:val="28"/>
          <w:szCs w:val="28"/>
        </w:rPr>
        <w:t>元，201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年决算培训费为</w:t>
      </w:r>
      <w:r>
        <w:rPr>
          <w:rFonts w:hint="eastAsia" w:asciiTheme="minorEastAsia" w:hAnsiTheme="minorEastAsia" w:eastAsiaTheme="minorEastAsia" w:cstheme="minorEastAsia"/>
          <w:color w:val="000000"/>
          <w:spacing w:val="2"/>
          <w:sz w:val="28"/>
          <w:szCs w:val="28"/>
          <w:lang w:val="en-US" w:eastAsia="zh-CN"/>
        </w:rPr>
        <w:t>600</w:t>
      </w:r>
      <w:r>
        <w:rPr>
          <w:rFonts w:hint="eastAsia" w:asciiTheme="minorEastAsia" w:hAnsiTheme="minorEastAsia" w:eastAsiaTheme="minorEastAsia" w:cstheme="minorEastAsia"/>
          <w:color w:val="000000"/>
          <w:spacing w:val="2"/>
          <w:sz w:val="28"/>
          <w:szCs w:val="28"/>
        </w:rPr>
        <w:t>元</w:t>
      </w:r>
      <w:r>
        <w:rPr>
          <w:rFonts w:hint="eastAsia" w:asciiTheme="minorEastAsia" w:hAnsiTheme="minorEastAsia" w:cstheme="minorEastAsia"/>
          <w:color w:val="000000"/>
          <w:spacing w:val="2"/>
          <w:sz w:val="28"/>
          <w:szCs w:val="28"/>
          <w:lang w:val="en-US" w:eastAsia="zh-CN"/>
        </w:rPr>
        <w:t>;</w:t>
      </w:r>
      <w:r>
        <w:rPr>
          <w:rFonts w:hint="eastAsia" w:asciiTheme="minorEastAsia" w:hAnsiTheme="minorEastAsia" w:eastAsiaTheme="minorEastAsia" w:cstheme="minorEastAsia"/>
          <w:color w:val="000000"/>
          <w:spacing w:val="2"/>
          <w:sz w:val="28"/>
          <w:szCs w:val="28"/>
        </w:rPr>
        <w:t>201</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年决算差旅费为</w:t>
      </w:r>
      <w:r>
        <w:rPr>
          <w:rFonts w:hint="eastAsia" w:asciiTheme="minorEastAsia" w:hAnsiTheme="minorEastAsia" w:eastAsiaTheme="minorEastAsia" w:cstheme="minorEastAsia"/>
          <w:color w:val="000000"/>
          <w:spacing w:val="2"/>
          <w:sz w:val="28"/>
          <w:szCs w:val="28"/>
          <w:lang w:val="en-US" w:eastAsia="zh-CN"/>
        </w:rPr>
        <w:t>10100</w:t>
      </w:r>
      <w:r>
        <w:rPr>
          <w:rFonts w:hint="eastAsia" w:asciiTheme="minorEastAsia" w:hAnsiTheme="minorEastAsia" w:eastAsiaTheme="minorEastAsia" w:cstheme="minorEastAsia"/>
          <w:color w:val="000000"/>
          <w:spacing w:val="2"/>
          <w:sz w:val="28"/>
          <w:szCs w:val="28"/>
        </w:rPr>
        <w:t>元，201</w:t>
      </w:r>
      <w:r>
        <w:rPr>
          <w:rFonts w:hint="eastAsia" w:asciiTheme="minorEastAsia" w:hAnsiTheme="minorEastAsia" w:eastAsiaTheme="minorEastAsia" w:cstheme="minorEastAsia"/>
          <w:color w:val="000000"/>
          <w:spacing w:val="2"/>
          <w:sz w:val="28"/>
          <w:szCs w:val="28"/>
          <w:lang w:val="en-US" w:eastAsia="zh-CN"/>
        </w:rPr>
        <w:t>7</w:t>
      </w:r>
      <w:r>
        <w:rPr>
          <w:rFonts w:hint="eastAsia" w:asciiTheme="minorEastAsia" w:hAnsiTheme="minorEastAsia" w:eastAsiaTheme="minorEastAsia" w:cstheme="minorEastAsia"/>
          <w:color w:val="000000"/>
          <w:spacing w:val="2"/>
          <w:sz w:val="28"/>
          <w:szCs w:val="28"/>
        </w:rPr>
        <w:t>年决算差旅费为</w:t>
      </w:r>
      <w:r>
        <w:rPr>
          <w:rFonts w:hint="eastAsia" w:asciiTheme="minorEastAsia" w:hAnsiTheme="minorEastAsia" w:eastAsiaTheme="minorEastAsia" w:cstheme="minorEastAsia"/>
          <w:color w:val="000000"/>
          <w:spacing w:val="2"/>
          <w:sz w:val="28"/>
          <w:szCs w:val="28"/>
          <w:lang w:val="en-US" w:eastAsia="zh-CN"/>
        </w:rPr>
        <w:t>300</w:t>
      </w:r>
      <w:r>
        <w:rPr>
          <w:rFonts w:hint="eastAsia" w:asciiTheme="minorEastAsia" w:hAnsiTheme="minorEastAsia" w:eastAsiaTheme="minorEastAsia" w:cstheme="minorEastAsia"/>
          <w:color w:val="000000"/>
          <w:spacing w:val="2"/>
          <w:sz w:val="28"/>
          <w:szCs w:val="28"/>
        </w:rPr>
        <w:t xml:space="preserve">0元。 </w:t>
      </w:r>
    </w:p>
    <w:p w14:paraId="30BF3B5D">
      <w:pPr>
        <w:spacing w:line="560" w:lineRule="exact"/>
        <w:ind w:firstLine="570" w:firstLineChars="200"/>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（三）关于机关运行经费支出说明</w:t>
      </w:r>
    </w:p>
    <w:p w14:paraId="22035995">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2018年机关运行经费支出415002.63元, 2017年机关运行经费支出568567.57元,同比上年增减-153564.94元，同比上年增减-27.01%，</w:t>
      </w:r>
      <w:r>
        <w:rPr>
          <w:rFonts w:hint="eastAsia" w:asciiTheme="minorEastAsia" w:hAnsiTheme="minorEastAsia" w:eastAsiaTheme="minorEastAsia" w:cstheme="minorEastAsia"/>
          <w:color w:val="000000"/>
          <w:spacing w:val="2"/>
          <w:sz w:val="28"/>
          <w:szCs w:val="28"/>
          <w:lang w:eastAsia="zh-CN"/>
        </w:rPr>
        <w:t>原因为</w:t>
      </w:r>
      <w:r>
        <w:rPr>
          <w:rFonts w:hint="eastAsia" w:asciiTheme="minorEastAsia" w:hAnsiTheme="minorEastAsia" w:eastAsiaTheme="minorEastAsia" w:cstheme="minorEastAsia"/>
          <w:color w:val="000000"/>
          <w:spacing w:val="2"/>
          <w:sz w:val="28"/>
          <w:szCs w:val="28"/>
        </w:rPr>
        <w:t>缩减开支。</w:t>
      </w:r>
    </w:p>
    <w:p w14:paraId="03C5465A">
      <w:pPr>
        <w:spacing w:line="560" w:lineRule="exact"/>
        <w:ind w:firstLine="570" w:firstLineChars="200"/>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（四）关于政府采购支出说明</w:t>
      </w:r>
    </w:p>
    <w:p w14:paraId="5A7DD35A">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2018年政府采购总支出89417元，其中政府采购货物支出7310元，政府采购工程支出0，政府采购服务支出82107元。</w:t>
      </w:r>
    </w:p>
    <w:p w14:paraId="235D0312">
      <w:pPr>
        <w:spacing w:line="560" w:lineRule="exact"/>
        <w:ind w:firstLine="570" w:firstLineChars="200"/>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（五）关于国有资产占用情况说明</w:t>
      </w:r>
    </w:p>
    <w:p w14:paraId="375321C4">
      <w:pPr>
        <w:spacing w:line="56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截至2018年12月31日，本单位共有车辆2辆，其中领导干部用车0辆，一般公务用车2辆，一般执法执勤用车0辆，特种专业技术用车0辆，其它用车0辆。　</w:t>
      </w:r>
    </w:p>
    <w:p w14:paraId="44ACFBB8">
      <w:pPr>
        <w:spacing w:line="560" w:lineRule="exact"/>
        <w:ind w:firstLine="570" w:firstLineChars="200"/>
        <w:rPr>
          <w:rFonts w:hint="eastAsia" w:asciiTheme="minorEastAsia" w:hAnsiTheme="minorEastAsia" w:eastAsiaTheme="minorEastAsia" w:cstheme="minorEastAsia"/>
          <w:b/>
          <w:bCs/>
          <w:color w:val="000000"/>
          <w:spacing w:val="2"/>
          <w:sz w:val="28"/>
          <w:szCs w:val="28"/>
          <w:lang w:val="en-US" w:eastAsia="zh-CN"/>
        </w:rPr>
      </w:pPr>
      <w:r>
        <w:rPr>
          <w:rFonts w:hint="eastAsia" w:asciiTheme="minorEastAsia" w:hAnsiTheme="minorEastAsia" w:eastAsiaTheme="minorEastAsia" w:cstheme="minorEastAsia"/>
          <w:b/>
          <w:bCs/>
          <w:color w:val="000000"/>
          <w:spacing w:val="2"/>
          <w:sz w:val="28"/>
          <w:szCs w:val="28"/>
          <w:lang w:val="en-US" w:eastAsia="zh-CN"/>
        </w:rPr>
        <w:t>（六）重点绩效评价结果等预算绩效情况说明</w:t>
      </w:r>
    </w:p>
    <w:p w14:paraId="1E57305C">
      <w:pPr>
        <w:spacing w:line="560" w:lineRule="exact"/>
        <w:ind w:firstLine="568" w:firstLineChars="200"/>
        <w:rPr>
          <w:rFonts w:hint="eastAsia" w:asciiTheme="minorEastAsia" w:hAnsiTheme="minorEastAsia" w:eastAsiaTheme="minorEastAsia" w:cstheme="minorEastAsia"/>
          <w:color w:val="000000"/>
          <w:spacing w:val="2"/>
          <w:sz w:val="28"/>
          <w:szCs w:val="28"/>
          <w:lang w:val="en-US" w:eastAsia="zh-CN"/>
        </w:rPr>
      </w:pPr>
      <w:r>
        <w:rPr>
          <w:rFonts w:hint="eastAsia" w:asciiTheme="minorEastAsia" w:hAnsiTheme="minorEastAsia" w:eastAsiaTheme="minorEastAsia" w:cstheme="minorEastAsia"/>
          <w:color w:val="000000"/>
          <w:spacing w:val="2"/>
          <w:sz w:val="28"/>
          <w:szCs w:val="28"/>
          <w:lang w:val="en-US" w:eastAsia="zh-CN"/>
        </w:rPr>
        <w:t>2018年， 根据预算绩效管理要求，我单位组织2018年度一般公共预算项目支出全面开展绩效自评，共涉及项目</w:t>
      </w:r>
      <w:r>
        <w:rPr>
          <w:rFonts w:hint="eastAsia" w:asciiTheme="minorEastAsia" w:hAnsiTheme="minorEastAsia" w:cstheme="minorEastAsia"/>
          <w:color w:val="000000"/>
          <w:spacing w:val="2"/>
          <w:sz w:val="28"/>
          <w:szCs w:val="28"/>
          <w:lang w:val="en-US" w:eastAsia="zh-CN"/>
        </w:rPr>
        <w:t>2</w:t>
      </w:r>
      <w:r>
        <w:rPr>
          <w:rFonts w:hint="eastAsia" w:asciiTheme="minorEastAsia" w:hAnsiTheme="minorEastAsia" w:eastAsiaTheme="minorEastAsia" w:cstheme="minorEastAsia"/>
          <w:color w:val="000000"/>
          <w:spacing w:val="2"/>
          <w:sz w:val="28"/>
          <w:szCs w:val="28"/>
          <w:lang w:val="en-US" w:eastAsia="zh-CN"/>
        </w:rPr>
        <w:t>个，资金</w:t>
      </w:r>
      <w:r>
        <w:rPr>
          <w:rFonts w:hint="eastAsia" w:asciiTheme="minorEastAsia" w:hAnsiTheme="minorEastAsia" w:cstheme="minorEastAsia"/>
          <w:color w:val="000000"/>
          <w:spacing w:val="2"/>
          <w:sz w:val="28"/>
          <w:szCs w:val="28"/>
          <w:lang w:val="en-US" w:eastAsia="zh-CN"/>
        </w:rPr>
        <w:t>22.5</w:t>
      </w:r>
      <w:r>
        <w:rPr>
          <w:rFonts w:hint="eastAsia" w:asciiTheme="minorEastAsia" w:hAnsiTheme="minorEastAsia" w:eastAsiaTheme="minorEastAsia" w:cstheme="minorEastAsia"/>
          <w:color w:val="000000"/>
          <w:spacing w:val="2"/>
          <w:sz w:val="28"/>
          <w:szCs w:val="28"/>
          <w:lang w:val="en-US" w:eastAsia="zh-CN"/>
        </w:rPr>
        <w:t>万元。 2018年项目资金投入</w:t>
      </w:r>
      <w:r>
        <w:rPr>
          <w:rFonts w:hint="eastAsia" w:asciiTheme="minorEastAsia" w:hAnsiTheme="minorEastAsia" w:cstheme="minorEastAsia"/>
          <w:color w:val="000000"/>
          <w:spacing w:val="2"/>
          <w:sz w:val="28"/>
          <w:szCs w:val="28"/>
          <w:lang w:val="en-US" w:eastAsia="zh-CN"/>
        </w:rPr>
        <w:t>22.5</w:t>
      </w:r>
      <w:r>
        <w:rPr>
          <w:rFonts w:hint="eastAsia" w:asciiTheme="minorEastAsia" w:hAnsiTheme="minorEastAsia" w:eastAsiaTheme="minorEastAsia" w:cstheme="minorEastAsia"/>
          <w:color w:val="000000"/>
          <w:spacing w:val="2"/>
          <w:sz w:val="28"/>
          <w:szCs w:val="28"/>
          <w:lang w:val="en-US" w:eastAsia="zh-CN"/>
        </w:rPr>
        <w:t>万元，已使用</w:t>
      </w:r>
      <w:r>
        <w:rPr>
          <w:rFonts w:hint="eastAsia" w:asciiTheme="minorEastAsia" w:hAnsiTheme="minorEastAsia" w:cstheme="minorEastAsia"/>
          <w:color w:val="000000"/>
          <w:spacing w:val="2"/>
          <w:sz w:val="28"/>
          <w:szCs w:val="28"/>
          <w:lang w:val="en-US" w:eastAsia="zh-CN"/>
        </w:rPr>
        <w:t>22.5</w:t>
      </w:r>
      <w:r>
        <w:rPr>
          <w:rFonts w:hint="eastAsia" w:asciiTheme="minorEastAsia" w:hAnsiTheme="minorEastAsia" w:eastAsiaTheme="minorEastAsia" w:cstheme="minorEastAsia"/>
          <w:color w:val="000000"/>
          <w:spacing w:val="2"/>
          <w:sz w:val="28"/>
          <w:szCs w:val="28"/>
          <w:lang w:val="en-US" w:eastAsia="zh-CN"/>
        </w:rPr>
        <w:t>万元，使用率100%。使用从评价结果看，项目立项程序完整、规范，预算执行及时、有效，绩效目标得到较好实现，绩效管理水平不断提高，绩效指标体系建设逐渐丰富和完善。</w:t>
      </w:r>
    </w:p>
    <w:p w14:paraId="12710F3A">
      <w:pPr>
        <w:spacing w:line="560" w:lineRule="exact"/>
        <w:ind w:firstLine="568" w:firstLineChars="200"/>
        <w:rPr>
          <w:rFonts w:hint="eastAsia" w:asciiTheme="minorEastAsia" w:hAnsiTheme="minorEastAsia" w:eastAsiaTheme="minorEastAsia" w:cstheme="minorEastAsia"/>
          <w:color w:val="000000"/>
          <w:spacing w:val="2"/>
          <w:sz w:val="28"/>
          <w:szCs w:val="28"/>
        </w:rPr>
      </w:pPr>
    </w:p>
    <w:p w14:paraId="79AD51E7">
      <w:pPr>
        <w:spacing w:line="560" w:lineRule="exact"/>
        <w:ind w:firstLine="568" w:firstLineChars="200"/>
        <w:rPr>
          <w:rFonts w:hint="eastAsia" w:asciiTheme="minorEastAsia" w:hAnsiTheme="minorEastAsia" w:eastAsiaTheme="minorEastAsia" w:cstheme="minorEastAsia"/>
          <w:color w:val="000000"/>
          <w:spacing w:val="2"/>
          <w:sz w:val="28"/>
          <w:szCs w:val="28"/>
        </w:rPr>
      </w:pPr>
    </w:p>
    <w:p w14:paraId="2683D196">
      <w:pPr>
        <w:spacing w:line="560" w:lineRule="exact"/>
        <w:ind w:firstLine="568" w:firstLineChars="200"/>
        <w:rPr>
          <w:rFonts w:hint="eastAsia" w:asciiTheme="minorEastAsia" w:hAnsiTheme="minorEastAsia" w:eastAsiaTheme="minorEastAsia" w:cstheme="minorEastAsia"/>
          <w:color w:val="000000"/>
          <w:spacing w:val="2"/>
          <w:sz w:val="28"/>
          <w:szCs w:val="28"/>
        </w:rPr>
      </w:pPr>
    </w:p>
    <w:p w14:paraId="2BB18368">
      <w:pPr>
        <w:spacing w:line="560" w:lineRule="exact"/>
        <w:ind w:firstLine="568" w:firstLineChars="200"/>
        <w:rPr>
          <w:rFonts w:hint="eastAsia" w:asciiTheme="minorEastAsia" w:hAnsiTheme="minorEastAsia" w:eastAsiaTheme="minorEastAsia" w:cstheme="minorEastAsia"/>
          <w:color w:val="000000"/>
          <w:spacing w:val="2"/>
          <w:sz w:val="28"/>
          <w:szCs w:val="28"/>
        </w:rPr>
      </w:pPr>
    </w:p>
    <w:p w14:paraId="58A0CF87">
      <w:pPr>
        <w:spacing w:line="560" w:lineRule="exact"/>
        <w:ind w:firstLine="568" w:firstLineChars="200"/>
        <w:rPr>
          <w:rFonts w:hint="eastAsia" w:asciiTheme="minorEastAsia" w:hAnsiTheme="minorEastAsia" w:eastAsiaTheme="minorEastAsia" w:cstheme="minorEastAsia"/>
          <w:color w:val="000000"/>
          <w:spacing w:val="2"/>
          <w:sz w:val="28"/>
          <w:szCs w:val="28"/>
        </w:rPr>
      </w:pPr>
    </w:p>
    <w:p w14:paraId="2860423F">
      <w:pPr>
        <w:spacing w:line="560" w:lineRule="exact"/>
        <w:ind w:firstLine="568" w:firstLineChars="200"/>
        <w:rPr>
          <w:rFonts w:hint="eastAsia" w:asciiTheme="minorEastAsia" w:hAnsiTheme="minorEastAsia" w:eastAsiaTheme="minorEastAsia" w:cstheme="minorEastAsia"/>
          <w:color w:val="000000"/>
          <w:spacing w:val="2"/>
          <w:sz w:val="28"/>
          <w:szCs w:val="28"/>
        </w:rPr>
      </w:pPr>
    </w:p>
    <w:p w14:paraId="560CEE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仿宋_GB2312" w:eastAsia="仿宋_GB2312"/>
          <w:sz w:val="27"/>
          <w:szCs w:val="27"/>
        </w:rPr>
        <w:t xml:space="preserve"> </w:t>
      </w:r>
      <w:r>
        <w:rPr>
          <w:rStyle w:val="8"/>
          <w:rFonts w:hint="eastAsia" w:ascii="微软雅黑" w:hAnsi="微软雅黑" w:eastAsia="微软雅黑" w:cs="微软雅黑"/>
          <w:i w:val="0"/>
          <w:caps w:val="0"/>
          <w:color w:val="333333"/>
          <w:spacing w:val="0"/>
          <w:sz w:val="24"/>
          <w:szCs w:val="24"/>
          <w:shd w:val="clear" w:fill="FFFFFF"/>
        </w:rPr>
        <w:t>第四部分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名词解释</w:t>
      </w:r>
    </w:p>
    <w:p w14:paraId="17908E9B">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一、财政补助收入：指县级财政当年拨付的资金。</w:t>
      </w:r>
    </w:p>
    <w:p w14:paraId="165134E8">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二、其他收入：指除“财政拨款收入”、“上级补助收入”、“事业收入”、“经营收入”等以外的收入。主要是存款利息收入等。</w:t>
      </w:r>
    </w:p>
    <w:p w14:paraId="6629E16C">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三、年初结转和结余：指以前年度尚未完成、结转到本年按有关规定继续使用的资金。</w:t>
      </w:r>
    </w:p>
    <w:p w14:paraId="3274AD7E">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四、一般公共服务（类）行政运行（项）：指县行政单位及参照公务员管理事业单位用于保障机构正常运行、开展日常工作的基本支出。</w:t>
      </w:r>
    </w:p>
    <w:p w14:paraId="3186E7C3">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470267A8">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六、一般公共服务（类）机关服务（项）：指县</w:t>
      </w:r>
      <w:r>
        <w:rPr>
          <w:rFonts w:hint="eastAsia" w:asciiTheme="minorEastAsia" w:hAnsiTheme="minorEastAsia" w:eastAsiaTheme="minorEastAsia" w:cstheme="minorEastAsia"/>
          <w:b w:val="0"/>
          <w:bCs w:val="0"/>
          <w:color w:val="000000"/>
          <w:spacing w:val="2"/>
          <w:sz w:val="28"/>
          <w:szCs w:val="28"/>
          <w:lang w:eastAsia="zh-CN"/>
        </w:rPr>
        <w:t>黄石港区安监局</w:t>
      </w:r>
      <w:r>
        <w:rPr>
          <w:rFonts w:hint="eastAsia" w:asciiTheme="minorEastAsia" w:hAnsiTheme="minorEastAsia" w:eastAsiaTheme="minorEastAsia" w:cstheme="minorEastAsia"/>
          <w:b w:val="0"/>
          <w:bCs w:val="0"/>
          <w:color w:val="000000"/>
          <w:spacing w:val="2"/>
          <w:sz w:val="28"/>
          <w:szCs w:val="28"/>
        </w:rPr>
        <w:t>服务中心为机关提供办公楼日常维修、维护等后勤保障服务的支出。</w:t>
      </w:r>
    </w:p>
    <w:p w14:paraId="08185CEC">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七、一般公共服务（类）其他一般公共服务支出（款）其他一般公共服务支出（项）：指</w:t>
      </w:r>
      <w:r>
        <w:rPr>
          <w:rFonts w:hint="eastAsia" w:asciiTheme="minorEastAsia" w:hAnsiTheme="minorEastAsia" w:eastAsiaTheme="minorEastAsia" w:cstheme="minorEastAsia"/>
          <w:b w:val="0"/>
          <w:bCs w:val="0"/>
          <w:color w:val="000000"/>
          <w:spacing w:val="2"/>
          <w:sz w:val="28"/>
          <w:szCs w:val="28"/>
          <w:lang w:eastAsia="zh-CN"/>
        </w:rPr>
        <w:t>黄石港区安监局</w:t>
      </w:r>
      <w:r>
        <w:rPr>
          <w:rFonts w:hint="eastAsia" w:asciiTheme="minorEastAsia" w:hAnsiTheme="minorEastAsia" w:eastAsiaTheme="minorEastAsia" w:cstheme="minorEastAsia"/>
          <w:b w:val="0"/>
          <w:bCs w:val="0"/>
          <w:color w:val="000000"/>
          <w:spacing w:val="2"/>
          <w:sz w:val="28"/>
          <w:szCs w:val="28"/>
        </w:rPr>
        <w:t>用于其他一般公共服务方面的支出。</w:t>
      </w:r>
    </w:p>
    <w:p w14:paraId="7CFA5F6A">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八、教育（类）普通教育（款）高等教育（项）：指</w:t>
      </w:r>
      <w:r>
        <w:rPr>
          <w:rFonts w:hint="eastAsia" w:asciiTheme="minorEastAsia" w:hAnsiTheme="minorEastAsia" w:eastAsiaTheme="minorEastAsia" w:cstheme="minorEastAsia"/>
          <w:b w:val="0"/>
          <w:bCs w:val="0"/>
          <w:color w:val="000000"/>
          <w:spacing w:val="2"/>
          <w:sz w:val="28"/>
          <w:szCs w:val="28"/>
          <w:lang w:eastAsia="zh-CN"/>
        </w:rPr>
        <w:t>黄石港区安监局</w:t>
      </w:r>
      <w:r>
        <w:rPr>
          <w:rFonts w:hint="eastAsia" w:asciiTheme="minorEastAsia" w:hAnsiTheme="minorEastAsia" w:eastAsiaTheme="minorEastAsia" w:cstheme="minorEastAsia"/>
          <w:b w:val="0"/>
          <w:bCs w:val="0"/>
          <w:color w:val="000000"/>
          <w:spacing w:val="2"/>
          <w:sz w:val="28"/>
          <w:szCs w:val="28"/>
        </w:rPr>
        <w:t>厅支持地方高校的重点发展和特色办学，组织专家对省属院校申报的建设规划和项目预算进行评审等相关工作的支出。</w:t>
      </w:r>
    </w:p>
    <w:p w14:paraId="63EF8E60">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九、社会保障和就业(类)行政事业单位离退休（款）归口管理的行政单位离退休（项）：指</w:t>
      </w:r>
      <w:r>
        <w:rPr>
          <w:rFonts w:hint="eastAsia" w:asciiTheme="minorEastAsia" w:hAnsiTheme="minorEastAsia" w:eastAsiaTheme="minorEastAsia" w:cstheme="minorEastAsia"/>
          <w:b w:val="0"/>
          <w:bCs w:val="0"/>
          <w:color w:val="000000"/>
          <w:spacing w:val="2"/>
          <w:sz w:val="28"/>
          <w:szCs w:val="28"/>
          <w:lang w:eastAsia="zh-CN"/>
        </w:rPr>
        <w:t>黄石港区安监局</w:t>
      </w:r>
      <w:r>
        <w:rPr>
          <w:rFonts w:hint="eastAsia" w:asciiTheme="minorEastAsia" w:hAnsiTheme="minorEastAsia" w:eastAsiaTheme="minorEastAsia" w:cstheme="minorEastAsia"/>
          <w:b w:val="0"/>
          <w:bCs w:val="0"/>
          <w:color w:val="000000"/>
          <w:spacing w:val="2"/>
          <w:sz w:val="28"/>
          <w:szCs w:val="28"/>
        </w:rPr>
        <w:t>用于离退休人员的支出、退休人员支出，以及提供管理服务工作的离退休干部处的支出。</w:t>
      </w:r>
    </w:p>
    <w:p w14:paraId="4934D2B8">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十、社会保障和就业(类)行政事业单位离退休（款）其他行政事业单位离退休支出（项）：指</w:t>
      </w:r>
      <w:r>
        <w:rPr>
          <w:rFonts w:hint="eastAsia" w:asciiTheme="minorEastAsia" w:hAnsiTheme="minorEastAsia" w:eastAsiaTheme="minorEastAsia" w:cstheme="minorEastAsia"/>
          <w:b w:val="0"/>
          <w:bCs w:val="0"/>
          <w:color w:val="000000"/>
          <w:spacing w:val="2"/>
          <w:sz w:val="28"/>
          <w:szCs w:val="28"/>
          <w:lang w:eastAsia="zh-CN"/>
        </w:rPr>
        <w:t>黄石港区安监局</w:t>
      </w:r>
      <w:r>
        <w:rPr>
          <w:rFonts w:hint="eastAsia" w:asciiTheme="minorEastAsia" w:hAnsiTheme="minorEastAsia" w:eastAsiaTheme="minorEastAsia" w:cstheme="minorEastAsia"/>
          <w:b w:val="0"/>
          <w:bCs w:val="0"/>
          <w:color w:val="000000"/>
          <w:spacing w:val="2"/>
          <w:sz w:val="28"/>
          <w:szCs w:val="28"/>
        </w:rPr>
        <w:t>用于离退休方面的其他支出。</w:t>
      </w:r>
    </w:p>
    <w:p w14:paraId="5E47F8F8">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十一、医疗卫生与计划生育（类）医疗保障（款）行政单位医疗（项）：指</w:t>
      </w:r>
      <w:r>
        <w:rPr>
          <w:rFonts w:hint="eastAsia" w:asciiTheme="minorEastAsia" w:hAnsiTheme="minorEastAsia" w:eastAsiaTheme="minorEastAsia" w:cstheme="minorEastAsia"/>
          <w:b w:val="0"/>
          <w:bCs w:val="0"/>
          <w:color w:val="000000"/>
          <w:spacing w:val="2"/>
          <w:sz w:val="28"/>
          <w:szCs w:val="28"/>
          <w:lang w:eastAsia="zh-CN"/>
        </w:rPr>
        <w:t>黄石港区安监局</w:t>
      </w:r>
      <w:r>
        <w:rPr>
          <w:rFonts w:hint="eastAsia" w:asciiTheme="minorEastAsia" w:hAnsiTheme="minorEastAsia" w:eastAsiaTheme="minorEastAsia" w:cstheme="minorEastAsia"/>
          <w:b w:val="0"/>
          <w:bCs w:val="0"/>
          <w:color w:val="000000"/>
          <w:spacing w:val="2"/>
          <w:sz w:val="28"/>
          <w:szCs w:val="28"/>
        </w:rPr>
        <w:t>用于机关干部职工及离退休人员医疗方面的支出。</w:t>
      </w:r>
    </w:p>
    <w:p w14:paraId="60C8B911">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十二、住房保障（类）住房改革支出（款）购房补贴（项）：指按照相关住房分配货币化改革的政策规定和标准，对无房和住房未达标职工发放的住房分配货币化补贴资金。</w:t>
      </w:r>
    </w:p>
    <w:p w14:paraId="6B4980C4">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十三、年末结转和结余：指本年度或以前年度预算安排、因客观条件发生变化无法按原计划实施，需要延迟到以后年度按有关规定继续使用的资金。</w:t>
      </w:r>
    </w:p>
    <w:p w14:paraId="706F54C4">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十四、基本支出：指为保障机构正常运转、完成日常工作任务而发生的人员支出（包括基本工资、津贴补贴等）和公用支出（包括办公费、水电费、邮电费、交通费、差旅费等）。</w:t>
      </w:r>
    </w:p>
    <w:p w14:paraId="2B055178">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十五、项目支出：指在基本支出之外为完成特定行政任务和事业发展目标所发生的支出。</w:t>
      </w:r>
    </w:p>
    <w:p w14:paraId="7DCCD45E">
      <w:pPr>
        <w:widowControl/>
        <w:spacing w:line="560" w:lineRule="exact"/>
        <w:ind w:firstLine="568" w:firstLineChars="200"/>
        <w:rPr>
          <w:rFonts w:hint="eastAsia" w:asciiTheme="minorEastAsia" w:hAnsiTheme="minorEastAsia" w:eastAsiaTheme="minorEastAsia" w:cstheme="minorEastAsia"/>
          <w:b w:val="0"/>
          <w:bCs w:val="0"/>
          <w:color w:val="000000"/>
          <w:spacing w:val="2"/>
          <w:sz w:val="28"/>
          <w:szCs w:val="28"/>
        </w:rPr>
      </w:pPr>
      <w:r>
        <w:rPr>
          <w:rFonts w:hint="eastAsia" w:asciiTheme="minorEastAsia" w:hAnsiTheme="minorEastAsia" w:eastAsiaTheme="minorEastAsia" w:cstheme="minorEastAsia"/>
          <w:b w:val="0"/>
          <w:bCs w:val="0"/>
          <w:color w:val="000000"/>
          <w:spacing w:val="2"/>
          <w:sz w:val="28"/>
          <w:szCs w:val="28"/>
        </w:rPr>
        <w:t>十六、“三公”经费：是指用财政拨款安排的因公出国（境）费、公务用车购置及运行维护费、公务接待费。</w:t>
      </w:r>
    </w:p>
    <w:p w14:paraId="79F01BA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B4AA80"/>
    <w:multiLevelType w:val="singleLevel"/>
    <w:tmpl w:val="71B4AA80"/>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9FF39B4"/>
    <w:rsid w:val="10157CA5"/>
    <w:rsid w:val="11411182"/>
    <w:rsid w:val="13FA6E94"/>
    <w:rsid w:val="1985137B"/>
    <w:rsid w:val="1D3216D7"/>
    <w:rsid w:val="219E41B4"/>
    <w:rsid w:val="24CF0C36"/>
    <w:rsid w:val="255E033E"/>
    <w:rsid w:val="25FC5D14"/>
    <w:rsid w:val="27272230"/>
    <w:rsid w:val="27390172"/>
    <w:rsid w:val="27446195"/>
    <w:rsid w:val="2CCE2491"/>
    <w:rsid w:val="2F081AB6"/>
    <w:rsid w:val="32805A52"/>
    <w:rsid w:val="32A67D9C"/>
    <w:rsid w:val="401A2F36"/>
    <w:rsid w:val="408F5EDF"/>
    <w:rsid w:val="411E236D"/>
    <w:rsid w:val="44064590"/>
    <w:rsid w:val="457D21A1"/>
    <w:rsid w:val="46FA714F"/>
    <w:rsid w:val="48946AD8"/>
    <w:rsid w:val="49D83A19"/>
    <w:rsid w:val="507C1CF5"/>
    <w:rsid w:val="50C831B4"/>
    <w:rsid w:val="54A434D5"/>
    <w:rsid w:val="57193076"/>
    <w:rsid w:val="5AC73C93"/>
    <w:rsid w:val="61773BFF"/>
    <w:rsid w:val="621B3808"/>
    <w:rsid w:val="64AF56D3"/>
    <w:rsid w:val="65286288"/>
    <w:rsid w:val="67E4782B"/>
    <w:rsid w:val="6BE74422"/>
    <w:rsid w:val="6F153A02"/>
    <w:rsid w:val="746766E2"/>
    <w:rsid w:val="74EA7B66"/>
    <w:rsid w:val="78186405"/>
    <w:rsid w:val="784C1E5B"/>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7"/>
    <w:qFormat/>
    <w:uiPriority w:val="0"/>
  </w:style>
  <w:style w:type="character" w:customStyle="1" w:styleId="13">
    <w:name w:val="apple-converted-space"/>
    <w:basedOn w:val="7"/>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2931</Words>
  <Characters>3363</Characters>
  <Lines>0</Lines>
  <Paragraphs>0</Paragraphs>
  <TotalTime>22</TotalTime>
  <ScaleCrop>false</ScaleCrop>
  <LinksUpToDate>false</LinksUpToDate>
  <CharactersWithSpaces>3413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2025-02-12T04:31:15Z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A6AAA1470BDA4BF8AEB153502C8AA691_13</vt:lpwstr>
  </property>
</Properties>
</file>