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A2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政府办</w:t>
      </w:r>
      <w:r>
        <w:rPr>
          <w:rFonts w:hint="eastAsia" w:ascii="微软雅黑" w:hAnsi="微软雅黑" w:eastAsia="微软雅黑" w:cs="微软雅黑"/>
          <w:b/>
          <w:i w:val="0"/>
          <w:caps w:val="0"/>
          <w:color w:val="BC1010"/>
          <w:spacing w:val="0"/>
          <w:sz w:val="40"/>
          <w:szCs w:val="40"/>
          <w:shd w:val="clear" w:fill="FFFFFF"/>
        </w:rPr>
        <w:t>201</w:t>
      </w:r>
      <w:r>
        <w:rPr>
          <w:rFonts w:hint="eastAsia" w:ascii="微软雅黑" w:hAnsi="微软雅黑" w:eastAsia="微软雅黑" w:cs="微软雅黑"/>
          <w:b/>
          <w:i w:val="0"/>
          <w:caps w:val="0"/>
          <w:color w:val="BC1010"/>
          <w:spacing w:val="0"/>
          <w:sz w:val="40"/>
          <w:szCs w:val="40"/>
          <w:shd w:val="clear" w:fill="FFFFFF"/>
          <w:lang w:val="en-US" w:eastAsia="zh-CN"/>
        </w:rPr>
        <w:t>8</w:t>
      </w:r>
      <w:r>
        <w:rPr>
          <w:rFonts w:hint="eastAsia" w:ascii="微软雅黑" w:hAnsi="微软雅黑" w:eastAsia="微软雅黑" w:cs="微软雅黑"/>
          <w:b/>
          <w:i w:val="0"/>
          <w:caps w:val="0"/>
          <w:color w:val="BC1010"/>
          <w:spacing w:val="0"/>
          <w:sz w:val="40"/>
          <w:szCs w:val="40"/>
          <w:shd w:val="clear" w:fill="FFFFFF"/>
        </w:rPr>
        <w:t>年决算公开</w:t>
      </w:r>
    </w:p>
    <w:bookmarkEnd w:id="0"/>
    <w:p w14:paraId="521A10A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10"/>
          <w:rFonts w:hint="eastAsia" w:ascii="微软雅黑" w:hAnsi="微软雅黑" w:eastAsia="微软雅黑" w:cs="微软雅黑"/>
          <w:i w:val="0"/>
          <w:caps w:val="0"/>
          <w:color w:val="333333"/>
          <w:spacing w:val="0"/>
          <w:sz w:val="24"/>
          <w:szCs w:val="24"/>
          <w:shd w:val="clear" w:fill="FFFFFF"/>
          <w:lang w:eastAsia="zh-CN"/>
        </w:rPr>
        <w:t>黄石港区政府办</w:t>
      </w:r>
      <w:r>
        <w:rPr>
          <w:rStyle w:val="10"/>
          <w:rFonts w:hint="eastAsia" w:ascii="微软雅黑" w:hAnsi="微软雅黑" w:eastAsia="微软雅黑" w:cs="微软雅黑"/>
          <w:i w:val="0"/>
          <w:caps w:val="0"/>
          <w:color w:val="333333"/>
          <w:spacing w:val="0"/>
          <w:sz w:val="24"/>
          <w:szCs w:val="24"/>
          <w:shd w:val="clear" w:fill="FFFFFF"/>
        </w:rPr>
        <w:t>201</w:t>
      </w:r>
      <w:r>
        <w:rPr>
          <w:rStyle w:val="10"/>
          <w:rFonts w:hint="eastAsia" w:ascii="微软雅黑" w:hAnsi="微软雅黑" w:eastAsia="微软雅黑" w:cs="微软雅黑"/>
          <w:i w:val="0"/>
          <w:caps w:val="0"/>
          <w:color w:val="333333"/>
          <w:spacing w:val="0"/>
          <w:sz w:val="24"/>
          <w:szCs w:val="24"/>
          <w:shd w:val="clear" w:fill="FFFFFF"/>
          <w:lang w:val="en-US" w:eastAsia="zh-CN"/>
        </w:rPr>
        <w:t>8</w:t>
      </w:r>
      <w:r>
        <w:rPr>
          <w:rStyle w:val="10"/>
          <w:rFonts w:hint="eastAsia" w:ascii="微软雅黑" w:hAnsi="微软雅黑" w:eastAsia="微软雅黑" w:cs="微软雅黑"/>
          <w:i w:val="0"/>
          <w:caps w:val="0"/>
          <w:color w:val="333333"/>
          <w:spacing w:val="0"/>
          <w:sz w:val="24"/>
          <w:szCs w:val="24"/>
          <w:shd w:val="clear" w:fill="FFFFFF"/>
        </w:rPr>
        <w:t>年决算公开</w:t>
      </w:r>
    </w:p>
    <w:p w14:paraId="3A62B72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52A73FB9">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3B863DC8">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2ABFDA96">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6AE76CAE">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年部门决算表</w:t>
      </w:r>
    </w:p>
    <w:p w14:paraId="4EEF466D">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5E037A66">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3C244E3D">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08E48A6A">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271B317E">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2716EE6B">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3FAAE0D1">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7B51C909">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八、政府性基金预算财政拨款收入支出决算表（8）</w:t>
      </w:r>
    </w:p>
    <w:p w14:paraId="126E4781">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年部门决算情况说明</w:t>
      </w:r>
    </w:p>
    <w:p w14:paraId="673BC96B">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40087DCE">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3869D6A8">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3A102DC4">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1582DA09">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40FD12B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40897B2D">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136777E7">
      <w:pPr>
        <w:pStyle w:val="7"/>
        <w:widowControl/>
        <w:spacing w:before="76" w:beforeAutospacing="0" w:after="76" w:afterAutospacing="0" w:line="450" w:lineRule="atLeast"/>
        <w:ind w:firstLine="420"/>
        <w:jc w:val="center"/>
        <w:rPr>
          <w:rStyle w:val="10"/>
          <w:rFonts w:ascii="仿宋" w:hAnsi="仿宋" w:eastAsia="仿宋" w:cs="微软雅黑"/>
          <w:color w:val="333333"/>
          <w:sz w:val="30"/>
          <w:szCs w:val="30"/>
          <w:shd w:val="clear" w:color="auto" w:fill="FFFFFF"/>
        </w:rPr>
      </w:pPr>
    </w:p>
    <w:p w14:paraId="1549D2BC">
      <w:pPr>
        <w:pStyle w:val="7"/>
        <w:widowControl/>
        <w:spacing w:before="76" w:beforeAutospacing="0" w:after="76" w:afterAutospacing="0" w:line="450" w:lineRule="atLeast"/>
        <w:ind w:firstLine="420"/>
        <w:jc w:val="center"/>
        <w:rPr>
          <w:rFonts w:ascii="方正大标宋简体" w:eastAsia="方正大标宋简体"/>
          <w:color w:val="333333"/>
          <w:sz w:val="36"/>
          <w:szCs w:val="36"/>
        </w:rPr>
      </w:pPr>
      <w:r>
        <w:rPr>
          <w:rStyle w:val="10"/>
          <w:rFonts w:hint="eastAsia" w:ascii="微软雅黑" w:hAnsi="微软雅黑" w:eastAsia="微软雅黑" w:cs="微软雅黑"/>
          <w:color w:val="333333"/>
          <w:sz w:val="24"/>
          <w:szCs w:val="24"/>
          <w:shd w:val="clear" w:color="auto" w:fill="FFFFFF"/>
        </w:rPr>
        <w:t>2018年部门决算</w:t>
      </w:r>
    </w:p>
    <w:p w14:paraId="3FAF96A5">
      <w:pPr>
        <w:pStyle w:val="7"/>
        <w:widowControl/>
        <w:spacing w:before="76" w:beforeAutospacing="0" w:after="76" w:afterAutospacing="0" w:line="450" w:lineRule="atLeast"/>
        <w:rPr>
          <w:rStyle w:val="10"/>
          <w:rFonts w:hint="eastAsia" w:ascii="微软雅黑" w:hAnsi="微软雅黑" w:eastAsia="微软雅黑" w:cs="微软雅黑"/>
          <w:color w:val="333333"/>
          <w:sz w:val="24"/>
          <w:szCs w:val="24"/>
          <w:shd w:val="clear" w:color="auto" w:fill="FFFFFF"/>
        </w:rPr>
      </w:pPr>
      <w:r>
        <w:rPr>
          <w:rStyle w:val="10"/>
          <w:rFonts w:hint="eastAsia"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z w:val="24"/>
          <w:szCs w:val="24"/>
          <w:shd w:val="clear" w:color="auto" w:fill="FFFFFF"/>
        </w:rPr>
        <w:t>第一部分：部门基本情况</w:t>
      </w:r>
    </w:p>
    <w:p w14:paraId="448CF9A4">
      <w:pPr>
        <w:pStyle w:val="7"/>
        <w:keepNext w:val="0"/>
        <w:keepLines w:val="0"/>
        <w:pageBreakBefore w:val="0"/>
        <w:widowControl/>
        <w:numPr>
          <w:ilvl w:val="0"/>
          <w:numId w:val="1"/>
        </w:numPr>
        <w:kinsoku/>
        <w:wordWrap/>
        <w:overflowPunct/>
        <w:topLinePunct w:val="0"/>
        <w:autoSpaceDE/>
        <w:autoSpaceDN/>
        <w:bidi w:val="0"/>
        <w:adjustRightInd/>
        <w:snapToGrid/>
        <w:spacing w:before="76" w:beforeAutospacing="0" w:after="76" w:afterAutospacing="0" w:line="450" w:lineRule="atLeas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主要职责</w:t>
      </w:r>
    </w:p>
    <w:p w14:paraId="22412C10">
      <w:pPr>
        <w:pStyle w:val="7"/>
        <w:keepNext w:val="0"/>
        <w:keepLines w:val="0"/>
        <w:pageBreakBefore w:val="0"/>
        <w:widowControl/>
        <w:numPr>
          <w:ilvl w:val="0"/>
          <w:numId w:val="0"/>
        </w:numPr>
        <w:kinsoku/>
        <w:wordWrap/>
        <w:overflowPunct/>
        <w:topLinePunct w:val="0"/>
        <w:autoSpaceDE/>
        <w:autoSpaceDN/>
        <w:bidi w:val="0"/>
        <w:adjustRightInd/>
        <w:snapToGrid/>
        <w:spacing w:before="76" w:beforeAutospacing="0" w:after="76" w:afterAutospacing="0" w:line="450" w:lineRule="atLeas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区政府办是区政府的综合协调部门，是区政府的运转中心，其主要职能是综合、督办、服务，办文、办会、办事，同时负责区政府法制、应急、值班、金融等各方面工作。2018年因根据工作需要，区政府办在原有内设机构基础上，设立了区行政服务中心，区编办已报市编办审批，行政服务中心属事业单位。  </w:t>
      </w:r>
    </w:p>
    <w:p w14:paraId="18E67A71">
      <w:pPr>
        <w:pStyle w:val="7"/>
        <w:keepNext w:val="0"/>
        <w:keepLines w:val="0"/>
        <w:pageBreakBefore w:val="0"/>
        <w:widowControl/>
        <w:numPr>
          <w:ilvl w:val="0"/>
          <w:numId w:val="0"/>
        </w:numPr>
        <w:kinsoku/>
        <w:wordWrap/>
        <w:overflowPunct/>
        <w:topLinePunct w:val="0"/>
        <w:autoSpaceDE/>
        <w:autoSpaceDN/>
        <w:bidi w:val="0"/>
        <w:adjustRightInd/>
        <w:snapToGrid/>
        <w:spacing w:before="76" w:beforeAutospacing="0" w:after="76" w:afterAutospacing="0" w:line="450" w:lineRule="atLeas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rPr>
        <w:t>（二）</w:t>
      </w:r>
      <w:r>
        <w:rPr>
          <w:rFonts w:hint="eastAsia" w:asciiTheme="minorEastAsia" w:hAnsiTheme="minorEastAsia" w:cstheme="minorEastAsia"/>
          <w:b w:val="0"/>
          <w:i w:val="0"/>
          <w:caps w:val="0"/>
          <w:color w:val="000000"/>
          <w:spacing w:val="0"/>
          <w:sz w:val="28"/>
          <w:szCs w:val="28"/>
          <w:shd w:val="clear" w:color="auto" w:fill="auto"/>
          <w:lang w:eastAsia="zh-CN"/>
        </w:rPr>
        <w:t>机构情况</w:t>
      </w:r>
    </w:p>
    <w:p w14:paraId="5B3499D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区政府办公室编制人数11人，其中行政编9人，事业编2人;年末实有人数20人，其中行政编12人，事业编2人，区内编1人，聘用人员5人。</w:t>
      </w:r>
    </w:p>
    <w:p w14:paraId="4B731F01">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sectPr>
          <w:pgSz w:w="16838" w:h="11906" w:orient="landscape"/>
          <w:pgMar w:top="1800" w:right="1440" w:bottom="1800" w:left="1440" w:header="851" w:footer="992" w:gutter="0"/>
          <w:cols w:space="0" w:num="1"/>
          <w:rtlGutter w:val="0"/>
          <w:docGrid w:type="lines" w:linePitch="312" w:charSpace="0"/>
        </w:sectPr>
      </w:pPr>
    </w:p>
    <w:p w14:paraId="1BA4635C">
      <w:pPr>
        <w:widowControl/>
        <w:jc w:val="left"/>
        <w:rPr>
          <w:rFonts w:ascii="仿宋" w:hAnsi="仿宋" w:eastAsia="仿宋" w:cs="微软雅黑"/>
          <w:b/>
          <w:bCs/>
          <w:sz w:val="30"/>
          <w:szCs w:val="30"/>
        </w:rPr>
      </w:pPr>
      <w:r>
        <w:rPr>
          <w:rFonts w:hint="eastAsia" w:ascii="仿宋" w:hAnsi="仿宋" w:eastAsia="仿宋" w:cs="微软雅黑"/>
          <w:b/>
          <w:bCs/>
          <w:sz w:val="30"/>
          <w:szCs w:val="30"/>
        </w:rPr>
        <w:t xml:space="preserve"> </w:t>
      </w:r>
      <w:r>
        <w:rPr>
          <w:rFonts w:hint="eastAsia" w:ascii="微软雅黑" w:hAnsi="微软雅黑" w:eastAsia="微软雅黑" w:cs="微软雅黑"/>
          <w:b/>
          <w:bCs/>
          <w:sz w:val="24"/>
          <w:szCs w:val="24"/>
        </w:rPr>
        <w:t>第二部分：部门2018年部门决算表</w:t>
      </w:r>
    </w:p>
    <w:p w14:paraId="1C4A8D7C">
      <w:pPr>
        <w:pStyle w:val="7"/>
        <w:widowControl/>
        <w:spacing w:before="76" w:beforeAutospacing="0" w:after="76" w:afterAutospacing="0" w:line="450" w:lineRule="atLeast"/>
        <w:rPr>
          <w:rStyle w:val="10"/>
          <w:rFonts w:hint="eastAsia" w:ascii="仿宋" w:hAnsi="仿宋" w:eastAsia="仿宋" w:cs="微软雅黑"/>
          <w:color w:val="333333"/>
          <w:sz w:val="30"/>
          <w:szCs w:val="30"/>
          <w:shd w:val="clear" w:color="auto" w:fill="FFFFFF"/>
        </w:rPr>
      </w:pPr>
      <w:r>
        <w:drawing>
          <wp:inline distT="0" distB="0" distL="114300" distR="114300">
            <wp:extent cx="8847455" cy="4672965"/>
            <wp:effectExtent l="0" t="0" r="1079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847455" cy="4672965"/>
                    </a:xfrm>
                    <a:prstGeom prst="rect">
                      <a:avLst/>
                    </a:prstGeom>
                    <a:noFill/>
                    <a:ln>
                      <a:noFill/>
                    </a:ln>
                  </pic:spPr>
                </pic:pic>
              </a:graphicData>
            </a:graphic>
          </wp:inline>
        </w:drawing>
      </w:r>
    </w:p>
    <w:p w14:paraId="7A61DF3C">
      <w:pPr>
        <w:keepNext w:val="0"/>
        <w:keepLines w:val="0"/>
        <w:widowControl/>
        <w:suppressLineNumbers w:val="0"/>
        <w:jc w:val="center"/>
        <w:textAlignment w:val="center"/>
      </w:pPr>
      <w:r>
        <w:drawing>
          <wp:inline distT="0" distB="0" distL="114300" distR="114300">
            <wp:extent cx="8853170" cy="2493645"/>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853170" cy="2493645"/>
                    </a:xfrm>
                    <a:prstGeom prst="rect">
                      <a:avLst/>
                    </a:prstGeom>
                    <a:noFill/>
                    <a:ln>
                      <a:noFill/>
                    </a:ln>
                  </pic:spPr>
                </pic:pic>
              </a:graphicData>
            </a:graphic>
          </wp:inline>
        </w:drawing>
      </w:r>
    </w:p>
    <w:p w14:paraId="771CC759">
      <w:pPr>
        <w:keepNext w:val="0"/>
        <w:keepLines w:val="0"/>
        <w:widowControl/>
        <w:suppressLineNumbers w:val="0"/>
        <w:jc w:val="center"/>
        <w:textAlignment w:val="center"/>
        <w:rPr>
          <w:rFonts w:hint="eastAsia" w:ascii="宋体" w:hAnsi="宋体" w:eastAsia="宋体" w:cs="宋体"/>
          <w:i w:val="0"/>
          <w:color w:val="000000"/>
          <w:kern w:val="0"/>
          <w:sz w:val="40"/>
          <w:szCs w:val="40"/>
          <w:u w:val="none"/>
          <w:lang w:val="en-US" w:eastAsia="zh-CN" w:bidi="ar"/>
        </w:rPr>
      </w:pPr>
      <w:r>
        <w:drawing>
          <wp:inline distT="0" distB="0" distL="114300" distR="114300">
            <wp:extent cx="8859520" cy="2489200"/>
            <wp:effectExtent l="0" t="0" r="1778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859520" cy="2489200"/>
                    </a:xfrm>
                    <a:prstGeom prst="rect">
                      <a:avLst/>
                    </a:prstGeom>
                    <a:noFill/>
                    <a:ln>
                      <a:noFill/>
                    </a:ln>
                  </pic:spPr>
                </pic:pic>
              </a:graphicData>
            </a:graphic>
          </wp:inline>
        </w:drawing>
      </w:r>
      <w:r>
        <w:rPr>
          <w:rFonts w:hint="eastAsia" w:ascii="宋体" w:hAnsi="宋体" w:eastAsia="宋体" w:cs="宋体"/>
          <w:i w:val="0"/>
          <w:color w:val="000000"/>
          <w:kern w:val="0"/>
          <w:sz w:val="40"/>
          <w:szCs w:val="40"/>
          <w:u w:val="none"/>
          <w:lang w:val="en-US" w:eastAsia="zh-CN" w:bidi="ar"/>
        </w:rPr>
        <w:br w:type="page"/>
      </w:r>
    </w:p>
    <w:p w14:paraId="2AC22DF1">
      <w:pPr>
        <w:pStyle w:val="7"/>
        <w:widowControl/>
        <w:spacing w:before="76" w:beforeAutospacing="0" w:after="76" w:afterAutospacing="0" w:line="450" w:lineRule="atLeast"/>
        <w:rPr>
          <w:rStyle w:val="10"/>
          <w:rFonts w:hint="eastAsia" w:ascii="仿宋" w:hAnsi="仿宋" w:eastAsia="仿宋" w:cs="微软雅黑"/>
          <w:color w:val="333333"/>
          <w:sz w:val="30"/>
          <w:szCs w:val="30"/>
          <w:shd w:val="clear" w:color="auto" w:fill="FFFFFF"/>
        </w:rPr>
      </w:pPr>
      <w:r>
        <w:drawing>
          <wp:inline distT="0" distB="0" distL="114300" distR="114300">
            <wp:extent cx="8806180" cy="5169535"/>
            <wp:effectExtent l="0" t="0" r="1397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806180" cy="5169535"/>
                    </a:xfrm>
                    <a:prstGeom prst="rect">
                      <a:avLst/>
                    </a:prstGeom>
                    <a:noFill/>
                    <a:ln>
                      <a:noFill/>
                    </a:ln>
                  </pic:spPr>
                </pic:pic>
              </a:graphicData>
            </a:graphic>
          </wp:inline>
        </w:drawing>
      </w:r>
    </w:p>
    <w:p w14:paraId="42DA98A7">
      <w:pPr>
        <w:pStyle w:val="7"/>
        <w:widowControl/>
        <w:spacing w:before="76" w:beforeAutospacing="0" w:after="76" w:afterAutospacing="0" w:line="450" w:lineRule="atLeast"/>
        <w:rPr>
          <w:rStyle w:val="10"/>
          <w:rFonts w:hint="eastAsia" w:ascii="仿宋" w:hAnsi="仿宋" w:eastAsia="仿宋" w:cs="微软雅黑"/>
          <w:color w:val="333333"/>
          <w:sz w:val="30"/>
          <w:szCs w:val="30"/>
          <w:shd w:val="clear" w:color="auto" w:fill="FFFFFF"/>
        </w:rPr>
      </w:pPr>
      <w:r>
        <w:drawing>
          <wp:inline distT="0" distB="0" distL="114300" distR="114300">
            <wp:extent cx="8855075" cy="4403090"/>
            <wp:effectExtent l="0" t="0" r="317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855075" cy="4403090"/>
                    </a:xfrm>
                    <a:prstGeom prst="rect">
                      <a:avLst/>
                    </a:prstGeom>
                    <a:noFill/>
                    <a:ln>
                      <a:noFill/>
                    </a:ln>
                  </pic:spPr>
                </pic:pic>
              </a:graphicData>
            </a:graphic>
          </wp:inline>
        </w:drawing>
      </w:r>
    </w:p>
    <w:p w14:paraId="2FD45C04">
      <w:pPr>
        <w:pStyle w:val="7"/>
        <w:widowControl/>
        <w:spacing w:before="76" w:beforeAutospacing="0" w:after="76" w:afterAutospacing="0" w:line="450" w:lineRule="atLeast"/>
        <w:ind w:firstLine="420"/>
        <w:rPr>
          <w:rStyle w:val="10"/>
          <w:rFonts w:hint="eastAsia" w:ascii="仿宋" w:hAnsi="仿宋" w:eastAsia="仿宋" w:cs="微软雅黑"/>
          <w:color w:val="333333"/>
          <w:sz w:val="30"/>
          <w:szCs w:val="30"/>
          <w:shd w:val="clear" w:color="auto" w:fill="FFFFFF"/>
        </w:rPr>
      </w:pPr>
    </w:p>
    <w:p w14:paraId="71C613EC">
      <w:pPr>
        <w:pStyle w:val="7"/>
        <w:widowControl/>
        <w:spacing w:before="76" w:beforeAutospacing="0" w:after="76" w:afterAutospacing="0" w:line="450" w:lineRule="atLeast"/>
        <w:rPr>
          <w:rStyle w:val="10"/>
          <w:rFonts w:hint="eastAsia" w:ascii="仿宋" w:hAnsi="仿宋" w:eastAsia="仿宋" w:cs="微软雅黑"/>
          <w:color w:val="333333"/>
          <w:sz w:val="30"/>
          <w:szCs w:val="30"/>
          <w:shd w:val="clear" w:color="auto" w:fill="FFFFFF"/>
        </w:rPr>
      </w:pPr>
      <w:r>
        <w:drawing>
          <wp:inline distT="0" distB="0" distL="114300" distR="114300">
            <wp:extent cx="8855075" cy="537210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855075" cy="5372100"/>
                    </a:xfrm>
                    <a:prstGeom prst="rect">
                      <a:avLst/>
                    </a:prstGeom>
                    <a:noFill/>
                    <a:ln>
                      <a:noFill/>
                    </a:ln>
                  </pic:spPr>
                </pic:pic>
              </a:graphicData>
            </a:graphic>
          </wp:inline>
        </w:drawing>
      </w:r>
    </w:p>
    <w:p w14:paraId="6394E808">
      <w:pPr>
        <w:pStyle w:val="7"/>
        <w:widowControl/>
        <w:spacing w:before="76" w:beforeAutospacing="0" w:after="76" w:afterAutospacing="0" w:line="450" w:lineRule="atLeast"/>
        <w:rPr>
          <w:rStyle w:val="10"/>
          <w:rFonts w:hint="eastAsia" w:ascii="仿宋" w:hAnsi="仿宋" w:eastAsia="仿宋" w:cs="微软雅黑"/>
          <w:color w:val="333333"/>
          <w:sz w:val="30"/>
          <w:szCs w:val="30"/>
          <w:shd w:val="clear" w:color="auto" w:fill="FFFFFF"/>
        </w:rPr>
      </w:pPr>
      <w:r>
        <w:drawing>
          <wp:inline distT="0" distB="0" distL="114300" distR="114300">
            <wp:extent cx="8856980" cy="1843405"/>
            <wp:effectExtent l="0" t="0" r="127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856980" cy="1843405"/>
                    </a:xfrm>
                    <a:prstGeom prst="rect">
                      <a:avLst/>
                    </a:prstGeom>
                    <a:noFill/>
                    <a:ln>
                      <a:noFill/>
                    </a:ln>
                  </pic:spPr>
                </pic:pic>
              </a:graphicData>
            </a:graphic>
          </wp:inline>
        </w:drawing>
      </w:r>
      <w:r>
        <w:drawing>
          <wp:inline distT="0" distB="0" distL="114300" distR="114300">
            <wp:extent cx="8856345" cy="2851785"/>
            <wp:effectExtent l="0" t="0" r="190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8856345" cy="2851785"/>
                    </a:xfrm>
                    <a:prstGeom prst="rect">
                      <a:avLst/>
                    </a:prstGeom>
                    <a:noFill/>
                    <a:ln>
                      <a:noFill/>
                    </a:ln>
                  </pic:spPr>
                </pic:pic>
              </a:graphicData>
            </a:graphic>
          </wp:inline>
        </w:drawing>
      </w:r>
    </w:p>
    <w:p w14:paraId="64561860">
      <w:pPr>
        <w:rPr>
          <w:rStyle w:val="10"/>
          <w:rFonts w:hint="eastAsia" w:ascii="仿宋" w:hAnsi="仿宋" w:eastAsia="仿宋" w:cs="微软雅黑"/>
          <w:color w:val="333333"/>
          <w:sz w:val="30"/>
          <w:szCs w:val="30"/>
          <w:shd w:val="clear" w:color="auto" w:fill="FFFFFF"/>
        </w:rPr>
        <w:sectPr>
          <w:pgSz w:w="16838" w:h="11906" w:orient="landscape"/>
          <w:pgMar w:top="1803" w:right="1440" w:bottom="1803" w:left="1440" w:header="851" w:footer="992" w:gutter="0"/>
          <w:cols w:space="0" w:num="1"/>
          <w:rtlGutter w:val="0"/>
          <w:docGrid w:type="lines" w:linePitch="319" w:charSpace="0"/>
        </w:sectPr>
      </w:pPr>
    </w:p>
    <w:p w14:paraId="11627724">
      <w:pPr>
        <w:pStyle w:val="7"/>
        <w:widowControl/>
        <w:numPr>
          <w:ilvl w:val="0"/>
          <w:numId w:val="0"/>
        </w:numPr>
        <w:spacing w:before="76" w:beforeAutospacing="0" w:after="76" w:afterAutospacing="0" w:line="450" w:lineRule="atLeast"/>
        <w:ind w:firstLine="240" w:firstLineChars="100"/>
        <w:rPr>
          <w:rFonts w:hint="eastAsia" w:asciiTheme="minorEastAsia" w:hAnsiTheme="minorEastAsia" w:eastAsiaTheme="minorEastAsia" w:cstheme="minorEastAsia"/>
          <w:sz w:val="28"/>
          <w:szCs w:val="28"/>
        </w:rPr>
      </w:pPr>
      <w:r>
        <w:rPr>
          <w:rStyle w:val="10"/>
          <w:rFonts w:hint="eastAsia" w:ascii="微软雅黑" w:hAnsi="微软雅黑" w:eastAsia="微软雅黑" w:cs="微软雅黑"/>
          <w:color w:val="333333"/>
          <w:sz w:val="24"/>
          <w:szCs w:val="24"/>
          <w:shd w:val="clear" w:color="auto" w:fill="FFFFFF"/>
          <w:lang w:eastAsia="zh-CN"/>
        </w:rPr>
        <w:t>第三部分</w:t>
      </w:r>
      <w:r>
        <w:rPr>
          <w:rStyle w:val="10"/>
          <w:rFonts w:hint="eastAsia" w:ascii="微软雅黑" w:hAnsi="微软雅黑" w:eastAsia="微软雅黑" w:cs="微软雅黑"/>
          <w:color w:val="333333"/>
          <w:sz w:val="24"/>
          <w:szCs w:val="24"/>
          <w:shd w:val="clear" w:color="auto" w:fill="FFFFFF"/>
          <w:lang w:val="en-US" w:eastAsia="zh-CN"/>
        </w:rPr>
        <w:t xml:space="preserve"> </w:t>
      </w:r>
      <w:r>
        <w:rPr>
          <w:rStyle w:val="10"/>
          <w:rFonts w:hint="eastAsia" w:ascii="微软雅黑" w:hAnsi="微软雅黑" w:eastAsia="微软雅黑" w:cs="微软雅黑"/>
          <w:color w:val="333333"/>
          <w:sz w:val="24"/>
          <w:szCs w:val="24"/>
          <w:shd w:val="clear" w:color="auto" w:fill="FFFFFF"/>
        </w:rPr>
        <w:t>部门2018年部门决算情况说明</w:t>
      </w:r>
    </w:p>
    <w:p w14:paraId="0A90A31C">
      <w:pPr>
        <w:pStyle w:val="7"/>
        <w:keepNext w:val="0"/>
        <w:keepLines w:val="0"/>
        <w:pageBreakBefore w:val="0"/>
        <w:widowControl/>
        <w:numPr>
          <w:ilvl w:val="0"/>
          <w:numId w:val="0"/>
        </w:numPr>
        <w:kinsoku/>
        <w:wordWrap/>
        <w:overflowPunct/>
        <w:topLinePunct w:val="0"/>
        <w:autoSpaceDE/>
        <w:autoSpaceDN/>
        <w:bidi w:val="0"/>
        <w:adjustRightInd/>
        <w:snapToGrid/>
        <w:spacing w:before="76" w:beforeAutospacing="0" w:after="76" w:afterAutospacing="0" w:line="450" w:lineRule="atLeas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宋体" w:hAnsi="宋体" w:cs="宋体"/>
          <w:b/>
          <w:bCs/>
          <w:sz w:val="28"/>
          <w:szCs w:val="28"/>
          <w:lang w:eastAsia="zh-CN"/>
        </w:rPr>
        <w:t>一）</w:t>
      </w:r>
      <w:r>
        <w:rPr>
          <w:rFonts w:hint="eastAsia" w:ascii="宋体" w:hAnsi="宋体" w:cs="宋体"/>
          <w:b/>
          <w:bCs/>
          <w:sz w:val="28"/>
          <w:szCs w:val="28"/>
        </w:rPr>
        <w:t>预算执行情况分析</w:t>
      </w:r>
    </w:p>
    <w:p w14:paraId="02ECAF2C">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收入支出与预算对比分析</w:t>
      </w:r>
    </w:p>
    <w:p w14:paraId="0238970C">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eastAsiaTheme="minorEastAsia"/>
          <w:sz w:val="28"/>
          <w:szCs w:val="28"/>
          <w:lang w:eastAsia="zh-CN"/>
        </w:rPr>
      </w:pPr>
      <w:r>
        <w:rPr>
          <w:rFonts w:hint="eastAsia" w:ascii="宋体" w:hAnsi="宋体" w:cs="宋体"/>
          <w:sz w:val="28"/>
          <w:szCs w:val="28"/>
        </w:rPr>
        <w:t>2018年全年总收入5493490.22元,其中</w:t>
      </w:r>
      <w:r>
        <w:rPr>
          <w:rFonts w:hint="eastAsia" w:ascii="宋体" w:hAnsi="宋体" w:cs="宋体"/>
          <w:sz w:val="28"/>
          <w:szCs w:val="28"/>
          <w:lang w:eastAsia="zh-CN"/>
        </w:rPr>
        <w:t>财政拨款</w:t>
      </w:r>
      <w:r>
        <w:rPr>
          <w:rFonts w:hint="eastAsia" w:ascii="宋体" w:hAnsi="宋体" w:cs="宋体"/>
          <w:sz w:val="28"/>
          <w:szCs w:val="28"/>
        </w:rPr>
        <w:t>决算收入5493490.22元(一般公共服务收入4648490.22元，节能环保收入845000元),其它收入0元, 2018年全年总支出5493490.22元,其中</w:t>
      </w:r>
      <w:r>
        <w:rPr>
          <w:rFonts w:hint="eastAsia" w:ascii="宋体" w:hAnsi="宋体" w:cs="宋体"/>
          <w:sz w:val="28"/>
          <w:szCs w:val="28"/>
          <w:lang w:eastAsia="zh-CN"/>
        </w:rPr>
        <w:t>财政拨款</w:t>
      </w:r>
      <w:r>
        <w:rPr>
          <w:rFonts w:hint="eastAsia" w:ascii="宋体" w:hAnsi="宋体" w:cs="宋体"/>
          <w:sz w:val="28"/>
          <w:szCs w:val="28"/>
        </w:rPr>
        <w:t>决算支出5493490.22元(一般公共服务支出4648490.22元，节能环保支出845000元),其它收入0元,2018年财政预算数3112917元，财拔决算比预算多2380573.22元,幅度为76.47%,原因为业务增加</w:t>
      </w:r>
      <w:r>
        <w:rPr>
          <w:rFonts w:hint="eastAsia" w:ascii="宋体" w:hAnsi="宋体" w:cs="宋体"/>
          <w:sz w:val="28"/>
          <w:szCs w:val="28"/>
          <w:lang w:eastAsia="zh-CN"/>
        </w:rPr>
        <w:t>。</w:t>
      </w:r>
    </w:p>
    <w:p w14:paraId="2BFC8898">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、收入支出结构分析</w:t>
      </w:r>
    </w:p>
    <w:p w14:paraId="7081D5EC">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2018年全年总收入5493490.22元,其中</w:t>
      </w:r>
      <w:r>
        <w:rPr>
          <w:rFonts w:hint="eastAsia" w:ascii="宋体" w:hAnsi="宋体" w:cs="宋体"/>
          <w:sz w:val="28"/>
          <w:szCs w:val="28"/>
          <w:lang w:eastAsia="zh-CN"/>
        </w:rPr>
        <w:t>财政拨款</w:t>
      </w:r>
      <w:r>
        <w:rPr>
          <w:rFonts w:hint="eastAsia" w:ascii="宋体" w:hAnsi="宋体" w:cs="宋体"/>
          <w:sz w:val="28"/>
          <w:szCs w:val="28"/>
        </w:rPr>
        <w:t>决算收入5493490.22元(一般公共服务收入4648490.22元，节能环保收入845000元),其它收入0元</w:t>
      </w:r>
      <w:r>
        <w:rPr>
          <w:rFonts w:hint="eastAsia" w:ascii="宋体" w:hAnsi="宋体" w:cs="宋体"/>
          <w:sz w:val="28"/>
          <w:szCs w:val="28"/>
          <w:lang w:eastAsia="zh-CN"/>
        </w:rPr>
        <w:t>；</w:t>
      </w:r>
      <w:r>
        <w:rPr>
          <w:rFonts w:hint="eastAsia" w:ascii="宋体" w:hAnsi="宋体" w:cs="宋体"/>
          <w:sz w:val="28"/>
          <w:szCs w:val="28"/>
        </w:rPr>
        <w:t>2018年全年总支出5493490.22元,其中</w:t>
      </w:r>
      <w:r>
        <w:rPr>
          <w:rFonts w:hint="eastAsia" w:ascii="宋体" w:hAnsi="宋体" w:cs="宋体"/>
          <w:sz w:val="28"/>
          <w:szCs w:val="28"/>
          <w:lang w:eastAsia="zh-CN"/>
        </w:rPr>
        <w:t>财政拨款</w:t>
      </w:r>
      <w:r>
        <w:rPr>
          <w:rFonts w:hint="eastAsia" w:ascii="宋体" w:hAnsi="宋体" w:cs="宋体"/>
          <w:sz w:val="28"/>
          <w:szCs w:val="28"/>
        </w:rPr>
        <w:t>决算支出5493490.22元(一般公共服务支出4648490.22元，节能环保支出845000元),其它支出0元</w:t>
      </w:r>
      <w:r>
        <w:rPr>
          <w:rFonts w:hint="eastAsia" w:ascii="宋体" w:hAnsi="宋体" w:cs="宋体"/>
          <w:sz w:val="28"/>
          <w:szCs w:val="28"/>
          <w:lang w:eastAsia="zh-CN"/>
        </w:rPr>
        <w:t>；</w:t>
      </w:r>
      <w:r>
        <w:rPr>
          <w:rFonts w:hint="eastAsia" w:ascii="宋体" w:hAnsi="宋体" w:cs="宋体"/>
          <w:sz w:val="28"/>
          <w:szCs w:val="28"/>
        </w:rPr>
        <w:t>支出按以下分类说明：</w:t>
      </w:r>
    </w:p>
    <w:p w14:paraId="4648D5F0">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lang w:eastAsia="zh-CN"/>
        </w:rPr>
        <w:t>①</w:t>
      </w:r>
      <w:r>
        <w:rPr>
          <w:rFonts w:hint="eastAsia" w:ascii="宋体" w:hAnsi="宋体" w:cs="宋体"/>
          <w:sz w:val="28"/>
          <w:szCs w:val="28"/>
        </w:rPr>
        <w:t>支出功能分类：总支出5493490.22元;其中政府办公厅（室）及相关机构事务支出4648490.22元，其他环境监测与监察支出845000元。</w:t>
      </w:r>
    </w:p>
    <w:p w14:paraId="43B89CAC">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lang w:eastAsia="zh-CN"/>
        </w:rPr>
        <w:t>②</w:t>
      </w:r>
      <w:r>
        <w:rPr>
          <w:rFonts w:hint="eastAsia" w:ascii="宋体" w:hAnsi="宋体" w:cs="宋体"/>
          <w:sz w:val="28"/>
          <w:szCs w:val="28"/>
        </w:rPr>
        <w:t xml:space="preserve">支出性质分类：总支出5493490.22元，其中人员经费3314555.10元，公用经费2178935.12元; </w:t>
      </w:r>
    </w:p>
    <w:p w14:paraId="72611CE4">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lang w:eastAsia="zh-CN"/>
        </w:rPr>
        <w:t>③</w:t>
      </w:r>
      <w:r>
        <w:rPr>
          <w:rFonts w:hint="eastAsia" w:ascii="宋体" w:hAnsi="宋体" w:cs="宋体"/>
          <w:sz w:val="28"/>
          <w:szCs w:val="28"/>
        </w:rPr>
        <w:t>支出经济分类：总支出5493490.22元，其中工资福利支出 3314555.10元，商品服务支出2061659.12元，对个人和家庭的补助支出 0元，其它资本性支出 117276元。</w:t>
      </w:r>
    </w:p>
    <w:p w14:paraId="0F3E5CAD">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3、支出按经济分类科目分析</w:t>
      </w:r>
    </w:p>
    <w:p w14:paraId="71B4103E">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2018年全年总支出5493490.22元，其中工资福利支出 3314555.10元，商品服务支出2061659.12元，对个人和家庭的补助支出 0元，其它资本性支出 117276元。</w:t>
      </w:r>
    </w:p>
    <w:p w14:paraId="5411FAB0">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 xml:space="preserve">关于“三公”经费支出说明 </w:t>
      </w:r>
    </w:p>
    <w:p w14:paraId="0A002C4D">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rPr>
        <w:t>2018年决算公务车运行维护费22320.79元，预算数为22320.79万元；2018年决算公务接待数为1250元，预算数为1250元</w:t>
      </w:r>
      <w:r>
        <w:rPr>
          <w:rFonts w:hint="eastAsia" w:ascii="宋体" w:hAnsi="宋体" w:cs="宋体"/>
          <w:sz w:val="28"/>
          <w:szCs w:val="28"/>
          <w:lang w:eastAsia="zh-CN"/>
        </w:rPr>
        <w:t>，接待相关人员</w:t>
      </w:r>
      <w:r>
        <w:rPr>
          <w:rFonts w:hint="eastAsia" w:ascii="宋体" w:hAnsi="宋体" w:cs="宋体"/>
          <w:sz w:val="28"/>
          <w:szCs w:val="28"/>
          <w:lang w:val="en-US" w:eastAsia="zh-CN"/>
        </w:rPr>
        <w:t>2批次，</w:t>
      </w:r>
      <w:r>
        <w:rPr>
          <w:rFonts w:hint="eastAsia" w:ascii="宋体" w:hAnsi="宋体" w:cs="宋体"/>
          <w:sz w:val="28"/>
          <w:szCs w:val="28"/>
          <w:lang w:eastAsia="zh-CN"/>
        </w:rPr>
        <w:t>共计</w:t>
      </w:r>
      <w:r>
        <w:rPr>
          <w:rFonts w:hint="eastAsia" w:ascii="宋体" w:hAnsi="宋体" w:cs="宋体"/>
          <w:sz w:val="28"/>
          <w:szCs w:val="28"/>
          <w:lang w:val="en-US" w:eastAsia="zh-CN"/>
        </w:rPr>
        <w:t>16人</w:t>
      </w:r>
      <w:r>
        <w:rPr>
          <w:rFonts w:hint="eastAsia" w:ascii="宋体" w:hAnsi="宋体" w:cs="宋体"/>
          <w:sz w:val="28"/>
          <w:szCs w:val="28"/>
        </w:rPr>
        <w:t>；2018年因公出国（境）费为0元，预算数为0元。2017年决算公务车运行维护费42084.42元，预算数为42084.42万元； 2017年决算公务接待数为2559元，预算数为2559元；2017年因公出国（境）费为0元，预算数为0元</w:t>
      </w:r>
      <w:r>
        <w:rPr>
          <w:rFonts w:hint="eastAsia" w:ascii="宋体" w:hAnsi="宋体" w:cs="宋体"/>
          <w:sz w:val="28"/>
          <w:szCs w:val="28"/>
          <w:lang w:eastAsia="zh-CN"/>
        </w:rPr>
        <w:t>。</w:t>
      </w:r>
    </w:p>
    <w:p w14:paraId="3EA36ED2">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eastAsia"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关于机关运行经费支出说明</w:t>
      </w:r>
    </w:p>
    <w:p w14:paraId="0C85C65B">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2018年机关运行经费支出2178935.12元, 2017年机关运行经费支出2051149.28元,同比上年增加127785.84元，同比上年增加6.23%，原因是黄石港区政府办公室业务量增加。</w:t>
      </w:r>
    </w:p>
    <w:p w14:paraId="169DEFF7">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eastAsia" w:ascii="宋体" w:hAnsi="宋体" w:cs="宋体"/>
          <w:b/>
          <w:bCs/>
          <w:sz w:val="28"/>
          <w:szCs w:val="28"/>
        </w:rPr>
      </w:pPr>
      <w:r>
        <w:rPr>
          <w:rFonts w:hint="eastAsia" w:ascii="宋体" w:hAnsi="宋体" w:cs="宋体"/>
          <w:b/>
          <w:bCs/>
          <w:sz w:val="28"/>
          <w:szCs w:val="28"/>
          <w:lang w:eastAsia="zh-CN"/>
        </w:rPr>
        <w:t>（四）</w:t>
      </w:r>
      <w:r>
        <w:rPr>
          <w:rFonts w:hint="eastAsia" w:ascii="宋体" w:hAnsi="宋体" w:cs="宋体"/>
          <w:b/>
          <w:bCs/>
          <w:sz w:val="28"/>
          <w:szCs w:val="28"/>
        </w:rPr>
        <w:t>关于政府采购支出说明</w:t>
      </w:r>
    </w:p>
    <w:p w14:paraId="3A179DB9">
      <w:pPr>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0" w:firstLine="560" w:firstLineChars="200"/>
        <w:jc w:val="left"/>
        <w:textAlignment w:val="auto"/>
        <w:rPr>
          <w:rFonts w:hint="eastAsia" w:ascii="宋体" w:hAnsi="宋体" w:cs="宋体"/>
          <w:sz w:val="28"/>
          <w:szCs w:val="28"/>
        </w:rPr>
      </w:pPr>
      <w:r>
        <w:rPr>
          <w:rFonts w:hint="eastAsia" w:ascii="宋体" w:hAnsi="宋体" w:cs="宋体"/>
          <w:sz w:val="28"/>
          <w:szCs w:val="28"/>
        </w:rPr>
        <w:t>2018年，政府采购总支出48100元，其中政府采购货物支出48100元，政府采购工程支出0元，政府采购服务支出0元。</w:t>
      </w:r>
    </w:p>
    <w:p w14:paraId="0A1EA99B">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eastAsia" w:ascii="宋体" w:hAnsi="宋体" w:cs="宋体"/>
          <w:b/>
          <w:bCs/>
          <w:sz w:val="28"/>
          <w:szCs w:val="28"/>
        </w:rPr>
      </w:pPr>
      <w:r>
        <w:rPr>
          <w:rFonts w:hint="eastAsia" w:ascii="宋体" w:hAnsi="宋体" w:cs="宋体"/>
          <w:b/>
          <w:bCs/>
          <w:sz w:val="28"/>
          <w:szCs w:val="28"/>
          <w:lang w:eastAsia="zh-CN"/>
        </w:rPr>
        <w:t>（五）</w:t>
      </w:r>
      <w:r>
        <w:rPr>
          <w:rFonts w:hint="eastAsia" w:ascii="宋体" w:hAnsi="宋体" w:cs="宋体"/>
          <w:b/>
          <w:bCs/>
          <w:sz w:val="28"/>
          <w:szCs w:val="28"/>
        </w:rPr>
        <w:t>关于国有资产占用情况说明</w:t>
      </w:r>
    </w:p>
    <w:p w14:paraId="389C61DF">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截至2018年12月31日，本单位共有车辆0辆，其中正县级主要领导干部用车1辆，一般公务用车0辆，一般执法执勤用车0辆，特种专业技术用车0辆，其它用车0辆， 2018年与2017年用车对比没有增减变化；本单位价值50万元以上通用设备0台；本单位价值100万元以上专用设备0台。</w:t>
      </w:r>
    </w:p>
    <w:p w14:paraId="51962D80">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（六）重点绩效评价结果等预算绩效情况说明</w:t>
      </w:r>
    </w:p>
    <w:p w14:paraId="0BB72E6F">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2018年， 根据预算绩效管理要求，我单位组织2018年度一般公共预算项目支出全面开展绩效自评，共涉及项目6个，资金29万元。 2018年项目资金投入29万元，已使用29万元，使用率100%。使用从评价结果看，项目立项程序完整、规范，预算执行及时、有效，绩效目标得到较好实现，绩效管理水平不断提高，绩效指标体系建设逐渐丰富和完善。</w:t>
      </w:r>
    </w:p>
    <w:p w14:paraId="31461E50">
      <w:pPr>
        <w:spacing w:line="560" w:lineRule="exact"/>
        <w:ind w:firstLine="568" w:firstLineChars="200"/>
        <w:rPr>
          <w:rFonts w:hint="eastAsia" w:asciiTheme="minorEastAsia" w:hAnsiTheme="minorEastAsia" w:eastAsiaTheme="minorEastAsia" w:cstheme="minorEastAsia"/>
          <w:color w:val="000000"/>
          <w:spacing w:val="2"/>
          <w:sz w:val="28"/>
          <w:szCs w:val="28"/>
        </w:rPr>
      </w:pPr>
    </w:p>
    <w:p w14:paraId="4AF939DE">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p>
    <w:p w14:paraId="6B1267DD">
      <w:pPr>
        <w:widowControl/>
        <w:shd w:val="clear" w:color="auto" w:fill="FFFFFF"/>
        <w:ind w:firstLine="480"/>
        <w:jc w:val="left"/>
        <w:rPr>
          <w:rFonts w:hint="eastAsia" w:ascii="宋体" w:hAnsi="宋体" w:cs="宋体"/>
          <w:sz w:val="28"/>
          <w:szCs w:val="28"/>
        </w:rPr>
      </w:pPr>
      <w:r>
        <w:rPr>
          <w:rFonts w:hint="eastAsia" w:ascii="宋体" w:hAnsi="宋体" w:cs="宋体"/>
          <w:sz w:val="28"/>
          <w:szCs w:val="28"/>
        </w:rPr>
        <w:t xml:space="preserve">      </w:t>
      </w:r>
    </w:p>
    <w:p w14:paraId="2253F18E">
      <w:pPr>
        <w:widowControl/>
        <w:shd w:val="clear" w:color="auto" w:fill="FFFFFF"/>
        <w:ind w:firstLine="480"/>
        <w:jc w:val="left"/>
        <w:rPr>
          <w:rFonts w:hint="eastAsia" w:ascii="宋体" w:hAnsi="宋体" w:cs="宋体"/>
          <w:sz w:val="28"/>
          <w:szCs w:val="28"/>
        </w:rPr>
      </w:pPr>
    </w:p>
    <w:p w14:paraId="71F416BA">
      <w:pPr>
        <w:widowControl/>
        <w:shd w:val="clear" w:color="auto" w:fill="FFFFFF"/>
        <w:ind w:firstLine="480"/>
        <w:jc w:val="left"/>
        <w:rPr>
          <w:rFonts w:hint="eastAsia" w:ascii="宋体" w:hAnsi="宋体" w:cs="宋体"/>
          <w:sz w:val="28"/>
          <w:szCs w:val="28"/>
        </w:rPr>
      </w:pPr>
    </w:p>
    <w:p w14:paraId="00260AEA">
      <w:pPr>
        <w:widowControl/>
        <w:shd w:val="clear" w:color="auto" w:fill="FFFFFF"/>
        <w:ind w:firstLine="240" w:firstLineChars="100"/>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第四部分：名词解释</w:t>
      </w:r>
    </w:p>
    <w:p w14:paraId="2FD9C920">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（一）财政拨款（补助）：指省级财政当年拨付的资金。</w:t>
      </w:r>
    </w:p>
    <w:p w14:paraId="0C5B4817">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 xml:space="preserve">（二）事业收入：指事业单位开展专业业务活动及其辅助活动取得的收入。 </w:t>
      </w:r>
    </w:p>
    <w:p w14:paraId="7FE3A33A">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 xml:space="preserve">（三）其他收入：指预算单位在“财政拨款补助收入”、“事业收入”、“经营收入”以外取得的收入。 </w:t>
      </w:r>
    </w:p>
    <w:p w14:paraId="033FDD24">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 xml:space="preserve">（四）上年结转：指以前年度尚未完成、结转到本年仍按原规定用途继续使用的资金。 </w:t>
      </w:r>
    </w:p>
    <w:p w14:paraId="7675842C">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 xml:space="preserve">（五）基本支出：指为保障机构正常运转、完成日常工作任务而发生的人员支出和公用支出。 </w:t>
      </w:r>
    </w:p>
    <w:p w14:paraId="74D8D9A5">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（六）项目支出：指为完成特定的行政工作任务或事业发展目标，在基本支出之外发生的各项支出。</w:t>
      </w:r>
    </w:p>
    <w:p w14:paraId="3A4E221F">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6343C4DC">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ascii="仿宋" w:hAnsi="仿宋" w:eastAsia="仿宋"/>
          <w:sz w:val="28"/>
          <w:szCs w:val="28"/>
        </w:rPr>
      </w:pPr>
      <w:r>
        <w:rPr>
          <w:rFonts w:hint="eastAsia" w:ascii="宋体" w:hAnsi="宋体" w:cs="宋体"/>
          <w:sz w:val="28"/>
          <w:szCs w:val="28"/>
        </w:rPr>
        <w:t>（八）行政运行（项）：指机关和实行公务员法管理事业单位用于保障机构正常运转的基本支出。</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61613"/>
    <w:multiLevelType w:val="singleLevel"/>
    <w:tmpl w:val="F5361613"/>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CF"/>
    <w:rsid w:val="00005B9B"/>
    <w:rsid w:val="0000651E"/>
    <w:rsid w:val="00026BBE"/>
    <w:rsid w:val="00044A56"/>
    <w:rsid w:val="00075A05"/>
    <w:rsid w:val="000769F3"/>
    <w:rsid w:val="00077711"/>
    <w:rsid w:val="000B6266"/>
    <w:rsid w:val="000E4746"/>
    <w:rsid w:val="001221E2"/>
    <w:rsid w:val="001315A2"/>
    <w:rsid w:val="0013589B"/>
    <w:rsid w:val="00142039"/>
    <w:rsid w:val="001426AA"/>
    <w:rsid w:val="00144C7F"/>
    <w:rsid w:val="0015317D"/>
    <w:rsid w:val="00165FB8"/>
    <w:rsid w:val="001960C9"/>
    <w:rsid w:val="001B2FE2"/>
    <w:rsid w:val="001B61CA"/>
    <w:rsid w:val="001C7B83"/>
    <w:rsid w:val="00204CCE"/>
    <w:rsid w:val="00206408"/>
    <w:rsid w:val="002147B8"/>
    <w:rsid w:val="00281F8B"/>
    <w:rsid w:val="002B604D"/>
    <w:rsid w:val="002B6FB1"/>
    <w:rsid w:val="002E0EF8"/>
    <w:rsid w:val="002F4ACB"/>
    <w:rsid w:val="002F5A91"/>
    <w:rsid w:val="003503AD"/>
    <w:rsid w:val="00375C9B"/>
    <w:rsid w:val="00386814"/>
    <w:rsid w:val="003E2222"/>
    <w:rsid w:val="003F000E"/>
    <w:rsid w:val="004174ED"/>
    <w:rsid w:val="00441363"/>
    <w:rsid w:val="00447102"/>
    <w:rsid w:val="004926E0"/>
    <w:rsid w:val="005259C6"/>
    <w:rsid w:val="00541336"/>
    <w:rsid w:val="00585130"/>
    <w:rsid w:val="005C52E6"/>
    <w:rsid w:val="005C7533"/>
    <w:rsid w:val="005F46CF"/>
    <w:rsid w:val="00614076"/>
    <w:rsid w:val="0069389A"/>
    <w:rsid w:val="006D7114"/>
    <w:rsid w:val="00741E9D"/>
    <w:rsid w:val="007745A4"/>
    <w:rsid w:val="007A1855"/>
    <w:rsid w:val="007B05C3"/>
    <w:rsid w:val="007B2845"/>
    <w:rsid w:val="007B57D6"/>
    <w:rsid w:val="007C52DA"/>
    <w:rsid w:val="00822503"/>
    <w:rsid w:val="008255CC"/>
    <w:rsid w:val="0084742A"/>
    <w:rsid w:val="008631B2"/>
    <w:rsid w:val="0086787E"/>
    <w:rsid w:val="00880EB9"/>
    <w:rsid w:val="008D4DA0"/>
    <w:rsid w:val="008D6631"/>
    <w:rsid w:val="008E1C06"/>
    <w:rsid w:val="008E73C6"/>
    <w:rsid w:val="00915D29"/>
    <w:rsid w:val="00956BE1"/>
    <w:rsid w:val="00995270"/>
    <w:rsid w:val="009D23B9"/>
    <w:rsid w:val="009D2CC4"/>
    <w:rsid w:val="00A15845"/>
    <w:rsid w:val="00A426B5"/>
    <w:rsid w:val="00A641F6"/>
    <w:rsid w:val="00AB01E0"/>
    <w:rsid w:val="00AC51EA"/>
    <w:rsid w:val="00AD14D3"/>
    <w:rsid w:val="00B01437"/>
    <w:rsid w:val="00B0309F"/>
    <w:rsid w:val="00B27BCF"/>
    <w:rsid w:val="00B308A7"/>
    <w:rsid w:val="00B604AF"/>
    <w:rsid w:val="00BB65C2"/>
    <w:rsid w:val="00BD47FC"/>
    <w:rsid w:val="00BD4911"/>
    <w:rsid w:val="00BF26C7"/>
    <w:rsid w:val="00C72D4D"/>
    <w:rsid w:val="00D216E2"/>
    <w:rsid w:val="00D314E9"/>
    <w:rsid w:val="00D455CB"/>
    <w:rsid w:val="00D62588"/>
    <w:rsid w:val="00D76A03"/>
    <w:rsid w:val="00D8128E"/>
    <w:rsid w:val="00D92A28"/>
    <w:rsid w:val="00DB6E53"/>
    <w:rsid w:val="00DC5E55"/>
    <w:rsid w:val="00DE71CF"/>
    <w:rsid w:val="00DF258A"/>
    <w:rsid w:val="00E27F4C"/>
    <w:rsid w:val="00E7386D"/>
    <w:rsid w:val="00E921C6"/>
    <w:rsid w:val="00EB3881"/>
    <w:rsid w:val="00F248D3"/>
    <w:rsid w:val="00F51CB9"/>
    <w:rsid w:val="00F6558A"/>
    <w:rsid w:val="00F8025E"/>
    <w:rsid w:val="00FC2D77"/>
    <w:rsid w:val="0664587B"/>
    <w:rsid w:val="07D93913"/>
    <w:rsid w:val="0E836A5F"/>
    <w:rsid w:val="12196932"/>
    <w:rsid w:val="12F27BC4"/>
    <w:rsid w:val="14005EAC"/>
    <w:rsid w:val="16C345ED"/>
    <w:rsid w:val="228A65CA"/>
    <w:rsid w:val="255E033E"/>
    <w:rsid w:val="289C3E82"/>
    <w:rsid w:val="2C203A0A"/>
    <w:rsid w:val="31BE75AC"/>
    <w:rsid w:val="32BD01BE"/>
    <w:rsid w:val="38203263"/>
    <w:rsid w:val="3C2D5DD2"/>
    <w:rsid w:val="3E6A6D99"/>
    <w:rsid w:val="46D55864"/>
    <w:rsid w:val="478E1DDE"/>
    <w:rsid w:val="4BD97939"/>
    <w:rsid w:val="59017E06"/>
    <w:rsid w:val="692B2102"/>
    <w:rsid w:val="6AD65F51"/>
    <w:rsid w:val="70A32328"/>
    <w:rsid w:val="746766E2"/>
    <w:rsid w:val="76C86538"/>
    <w:rsid w:val="78186405"/>
    <w:rsid w:val="7ED0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9"/>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页脚 Char"/>
    <w:basedOn w:val="9"/>
    <w:link w:val="5"/>
    <w:qFormat/>
    <w:uiPriority w:val="0"/>
    <w:rPr>
      <w:rFonts w:asciiTheme="minorHAnsi" w:hAnsiTheme="minorHAnsi" w:eastAsiaTheme="minorEastAsia" w:cstheme="minorBidi"/>
      <w:kern w:val="2"/>
      <w:sz w:val="18"/>
      <w:szCs w:val="18"/>
    </w:rPr>
  </w:style>
  <w:style w:type="character" w:customStyle="1" w:styleId="16">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3CF3F-6615-4121-9674-E668502BF2C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2115</Words>
  <Characters>2563</Characters>
  <Lines>32</Lines>
  <Paragraphs>9</Paragraphs>
  <TotalTime>0</TotalTime>
  <ScaleCrop>false</ScaleCrop>
  <LinksUpToDate>false</LinksUpToDate>
  <CharactersWithSpaces>2596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2025-02-12T02:51:16Z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8DF07C01EFDD425BB282517E73F1DEAB_13</vt:lpwstr>
  </property>
</Properties>
</file>