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after="0" w:line="420" w:lineRule="exact"/>
        <w:ind w:firstLine="150" w:firstLineChars="50"/>
        <w:rPr>
          <w:rFonts w:ascii="黑体" w:hAnsi="黑体" w:eastAsia="黑体" w:cs="黑体"/>
          <w:color w:val="000000"/>
          <w:sz w:val="30"/>
          <w:szCs w:val="30"/>
        </w:rPr>
      </w:pPr>
      <w:bookmarkStart w:id="0" w:name="_GoBack"/>
      <w:r>
        <w:rPr>
          <w:rFonts w:hint="eastAsia" w:ascii="黑体" w:hAnsi="黑体" w:eastAsia="黑体" w:cs="黑体"/>
          <w:color w:val="000000"/>
          <w:sz w:val="30"/>
          <w:szCs w:val="30"/>
        </w:rPr>
        <w:t>黄石港区应急管理局重大行政执法决定法制审核清单</w:t>
      </w:r>
    </w:p>
    <w:tbl>
      <w:tblPr>
        <w:tblStyle w:val="6"/>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3"/>
        <w:gridCol w:w="3150"/>
        <w:gridCol w:w="1814"/>
        <w:gridCol w:w="1200"/>
        <w:gridCol w:w="3089"/>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widowControl/>
              <w:jc w:val="center"/>
              <w:rPr>
                <w:sz w:val="24"/>
              </w:rPr>
            </w:pPr>
            <w:r>
              <w:rPr>
                <w:rFonts w:hint="eastAsia" w:ascii="仿宋_GB2312" w:hAnsi="宋体" w:eastAsia="仿宋_GB2312" w:cs="宋体"/>
                <w:b/>
                <w:sz w:val="24"/>
              </w:rPr>
              <w:t>序号</w:t>
            </w:r>
          </w:p>
        </w:tc>
        <w:tc>
          <w:tcPr>
            <w:tcW w:w="1923" w:type="dxa"/>
            <w:vAlign w:val="center"/>
          </w:tcPr>
          <w:p>
            <w:pPr>
              <w:widowControl/>
              <w:jc w:val="center"/>
              <w:rPr>
                <w:sz w:val="24"/>
              </w:rPr>
            </w:pPr>
            <w:r>
              <w:rPr>
                <w:rFonts w:hint="eastAsia" w:ascii="仿宋_GB2312" w:hAnsi="宋体" w:eastAsia="仿宋_GB2312" w:cs="宋体"/>
                <w:b/>
                <w:sz w:val="24"/>
              </w:rPr>
              <w:t>执法项目大类</w:t>
            </w:r>
          </w:p>
        </w:tc>
        <w:tc>
          <w:tcPr>
            <w:tcW w:w="3150" w:type="dxa"/>
            <w:vAlign w:val="center"/>
          </w:tcPr>
          <w:p>
            <w:pPr>
              <w:widowControl/>
              <w:jc w:val="center"/>
              <w:rPr>
                <w:sz w:val="24"/>
              </w:rPr>
            </w:pPr>
            <w:r>
              <w:rPr>
                <w:rFonts w:hint="eastAsia" w:ascii="仿宋_GB2312" w:hAnsi="宋体" w:eastAsia="仿宋_GB2312" w:cs="宋体"/>
                <w:b/>
                <w:sz w:val="24"/>
              </w:rPr>
              <w:t>具体执法决定项目</w:t>
            </w:r>
          </w:p>
        </w:tc>
        <w:tc>
          <w:tcPr>
            <w:tcW w:w="1814" w:type="dxa"/>
            <w:vAlign w:val="center"/>
          </w:tcPr>
          <w:p>
            <w:pPr>
              <w:widowControl/>
              <w:jc w:val="center"/>
              <w:rPr>
                <w:sz w:val="24"/>
              </w:rPr>
            </w:pPr>
            <w:r>
              <w:rPr>
                <w:rFonts w:hint="eastAsia" w:ascii="仿宋_GB2312" w:hAnsi="宋体" w:eastAsia="仿宋_GB2312" w:cs="宋体"/>
                <w:b/>
                <w:sz w:val="24"/>
              </w:rPr>
              <w:t>依据</w:t>
            </w:r>
          </w:p>
        </w:tc>
        <w:tc>
          <w:tcPr>
            <w:tcW w:w="1200" w:type="dxa"/>
            <w:vAlign w:val="center"/>
          </w:tcPr>
          <w:p>
            <w:pPr>
              <w:widowControl/>
              <w:jc w:val="center"/>
              <w:rPr>
                <w:sz w:val="24"/>
              </w:rPr>
            </w:pPr>
            <w:r>
              <w:rPr>
                <w:rFonts w:hint="eastAsia" w:ascii="仿宋_GB2312" w:hAnsi="宋体" w:eastAsia="仿宋_GB2312" w:cs="宋体"/>
                <w:b/>
                <w:sz w:val="24"/>
              </w:rPr>
              <w:t>提交部门</w:t>
            </w:r>
          </w:p>
        </w:tc>
        <w:tc>
          <w:tcPr>
            <w:tcW w:w="3089" w:type="dxa"/>
            <w:vAlign w:val="center"/>
          </w:tcPr>
          <w:p>
            <w:pPr>
              <w:widowControl/>
              <w:jc w:val="center"/>
              <w:rPr>
                <w:sz w:val="24"/>
              </w:rPr>
            </w:pPr>
            <w:r>
              <w:rPr>
                <w:rFonts w:hint="eastAsia" w:ascii="仿宋_GB2312" w:hAnsi="宋体" w:eastAsia="仿宋_GB2312" w:cs="宋体"/>
                <w:b/>
                <w:sz w:val="24"/>
              </w:rPr>
              <w:t>应提交的审核资料</w:t>
            </w:r>
          </w:p>
        </w:tc>
        <w:tc>
          <w:tcPr>
            <w:tcW w:w="2276" w:type="dxa"/>
            <w:vAlign w:val="center"/>
          </w:tcPr>
          <w:p>
            <w:pPr>
              <w:widowControl/>
              <w:jc w:val="center"/>
              <w:rPr>
                <w:sz w:val="24"/>
              </w:rPr>
            </w:pPr>
            <w:r>
              <w:rPr>
                <w:rFonts w:hint="eastAsia" w:ascii="仿宋_GB2312" w:hAnsi="宋体" w:eastAsia="仿宋_GB2312" w:cs="宋体"/>
                <w:b/>
                <w:sz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r>
              <w:rPr>
                <w:rFonts w:hint="eastAsia"/>
                <w:sz w:val="24"/>
              </w:rPr>
              <w:t>1</w:t>
            </w:r>
          </w:p>
        </w:tc>
        <w:tc>
          <w:tcPr>
            <w:tcW w:w="1923" w:type="dxa"/>
            <w:vMerge w:val="restart"/>
          </w:tcPr>
          <w:p>
            <w:pPr>
              <w:jc w:val="center"/>
              <w:rPr>
                <w:rFonts w:ascii="仿宋_GB2312" w:hAnsi="宋体" w:eastAsia="仿宋_GB2312" w:cs="宋体"/>
                <w:sz w:val="24"/>
              </w:rPr>
            </w:pPr>
          </w:p>
          <w:p>
            <w:pP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sz w:val="24"/>
              </w:rPr>
            </w:pPr>
            <w:r>
              <w:rPr>
                <w:rFonts w:hint="eastAsia" w:ascii="仿宋_GB2312" w:hAnsi="宋体" w:eastAsia="仿宋_GB2312" w:cs="宋体"/>
                <w:sz w:val="24"/>
              </w:rPr>
              <w:t>行政许可事项</w:t>
            </w:r>
          </w:p>
        </w:tc>
        <w:tc>
          <w:tcPr>
            <w:tcW w:w="3150" w:type="dxa"/>
            <w:vAlign w:val="center"/>
          </w:tcPr>
          <w:p>
            <w:pPr>
              <w:widowControl/>
              <w:jc w:val="left"/>
              <w:rPr>
                <w:sz w:val="24"/>
              </w:rPr>
            </w:pPr>
            <w:r>
              <w:rPr>
                <w:rFonts w:hint="eastAsia" w:ascii="仿宋_GB2312" w:hAnsi="宋体" w:eastAsia="仿宋_GB2312" w:cs="宋体"/>
                <w:sz w:val="24"/>
              </w:rPr>
              <w:t>涉及重大公众利益或涉及申请人与他人重大利益关系的</w:t>
            </w:r>
          </w:p>
        </w:tc>
        <w:tc>
          <w:tcPr>
            <w:tcW w:w="1814" w:type="dxa"/>
            <w:vAlign w:val="center"/>
          </w:tcPr>
          <w:p>
            <w:pPr>
              <w:widowControl/>
              <w:jc w:val="center"/>
              <w:rPr>
                <w:sz w:val="24"/>
              </w:rPr>
            </w:pPr>
            <w:r>
              <w:rPr>
                <w:rFonts w:hint="eastAsia" w:ascii="仿宋_GB2312" w:hAnsi="宋体" w:eastAsia="仿宋_GB2312" w:cs="宋体"/>
                <w:sz w:val="24"/>
              </w:rPr>
              <w:t>《中华人民共和国行政许可法》第十二条</w:t>
            </w:r>
          </w:p>
        </w:tc>
        <w:tc>
          <w:tcPr>
            <w:tcW w:w="1200" w:type="dxa"/>
            <w:vAlign w:val="center"/>
          </w:tcPr>
          <w:p>
            <w:pPr>
              <w:widowControl/>
              <w:jc w:val="left"/>
              <w:rPr>
                <w:sz w:val="24"/>
              </w:rPr>
            </w:pPr>
            <w:r>
              <w:rPr>
                <w:rFonts w:hint="eastAsia" w:ascii="仿宋_GB2312" w:hAnsi="宋体" w:eastAsia="仿宋_GB2312" w:cs="宋体"/>
                <w:sz w:val="24"/>
              </w:rPr>
              <w:t>相关负责行政许可审查的科室</w:t>
            </w:r>
          </w:p>
        </w:tc>
        <w:tc>
          <w:tcPr>
            <w:tcW w:w="3089" w:type="dxa"/>
            <w:vAlign w:val="center"/>
          </w:tcPr>
          <w:p>
            <w:pPr>
              <w:widowControl/>
              <w:jc w:val="left"/>
              <w:rPr>
                <w:sz w:val="24"/>
              </w:rPr>
            </w:pPr>
            <w:r>
              <w:rPr>
                <w:rFonts w:hint="eastAsia" w:ascii="仿宋_GB2312" w:hAnsi="宋体" w:eastAsia="仿宋_GB2312" w:cs="宋体"/>
                <w:sz w:val="24"/>
              </w:rPr>
              <w:t>1、许可承办部门对涉及重大公众利益或涉及申请人与他人重大利益关系的审查情况说明；</w:t>
            </w:r>
          </w:p>
        </w:tc>
        <w:tc>
          <w:tcPr>
            <w:tcW w:w="2276" w:type="dxa"/>
            <w:vAlign w:val="center"/>
          </w:tcPr>
          <w:p>
            <w:pPr>
              <w:widowControl/>
              <w:jc w:val="left"/>
              <w:rPr>
                <w:sz w:val="24"/>
              </w:rPr>
            </w:pPr>
            <w:r>
              <w:rPr>
                <w:rFonts w:hint="eastAsia" w:ascii="仿宋_GB2312" w:hAnsi="宋体" w:eastAsia="仿宋_GB2312" w:cs="宋体"/>
                <w:sz w:val="24"/>
              </w:rPr>
              <w:t>1、审核作出涉及重大公众利益或涉及申请人与他人重大利益关系的依据是否准确，程序是否合法。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ind w:firstLine="240" w:firstLineChars="100"/>
              <w:rPr>
                <w:sz w:val="24"/>
              </w:rPr>
            </w:pPr>
            <w:r>
              <w:rPr>
                <w:rFonts w:hint="eastAsia"/>
                <w:sz w:val="24"/>
              </w:rPr>
              <w:t>2</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不予行政许可决定</w:t>
            </w:r>
          </w:p>
        </w:tc>
        <w:tc>
          <w:tcPr>
            <w:tcW w:w="1814" w:type="dxa"/>
            <w:vAlign w:val="center"/>
          </w:tcPr>
          <w:p>
            <w:pPr>
              <w:widowControl/>
              <w:rPr>
                <w:sz w:val="24"/>
              </w:rPr>
            </w:pPr>
            <w:r>
              <w:rPr>
                <w:rFonts w:hint="eastAsia" w:ascii="仿宋_GB2312" w:hAnsi="宋体" w:eastAsia="仿宋_GB2312" w:cs="宋体"/>
                <w:sz w:val="24"/>
              </w:rPr>
              <w:t>《中华人民共和国安全生产法》第六十</w:t>
            </w:r>
            <w:r>
              <w:rPr>
                <w:rFonts w:hint="eastAsia" w:ascii="仿宋_GB2312" w:hAnsi="宋体" w:eastAsia="仿宋_GB2312" w:cs="宋体"/>
                <w:sz w:val="24"/>
                <w:lang w:eastAsia="zh-CN"/>
              </w:rPr>
              <w:t>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1、许可承办部门对不予许可项目审查情况说明；</w:t>
            </w:r>
          </w:p>
          <w:p>
            <w:pPr>
              <w:widowControl/>
              <w:rPr>
                <w:sz w:val="24"/>
              </w:rPr>
            </w:pPr>
            <w:r>
              <w:rPr>
                <w:rFonts w:hint="eastAsia" w:ascii="仿宋_GB2312" w:hAnsi="宋体" w:eastAsia="仿宋_GB2312" w:cs="宋体"/>
                <w:sz w:val="24"/>
              </w:rPr>
              <w:t>2、许可承办部门及主管领导意见；</w:t>
            </w:r>
          </w:p>
        </w:tc>
        <w:tc>
          <w:tcPr>
            <w:tcW w:w="2276" w:type="dxa"/>
            <w:vAlign w:val="center"/>
          </w:tcPr>
          <w:p>
            <w:pPr>
              <w:widowControl/>
              <w:rPr>
                <w:sz w:val="24"/>
              </w:rPr>
            </w:pPr>
            <w:r>
              <w:rPr>
                <w:rFonts w:hint="eastAsia" w:ascii="仿宋_GB2312" w:hAnsi="宋体" w:eastAsia="仿宋_GB2312" w:cs="宋体"/>
                <w:sz w:val="24"/>
              </w:rPr>
              <w:t>1、审核作出不予行政许可决定的依据是否准确，程序是否合法。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3</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撤销行政许可决定</w:t>
            </w:r>
          </w:p>
        </w:tc>
        <w:tc>
          <w:tcPr>
            <w:tcW w:w="1814"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1、《中华人民共和国行政许可法》第六十九条</w:t>
            </w:r>
          </w:p>
          <w:p>
            <w:pPr>
              <w:widowControl/>
              <w:rPr>
                <w:sz w:val="24"/>
              </w:rPr>
            </w:pPr>
            <w:r>
              <w:rPr>
                <w:rFonts w:hint="eastAsia" w:ascii="仿宋_GB2312" w:hAnsi="宋体" w:eastAsia="仿宋_GB2312" w:cs="宋体"/>
                <w:sz w:val="24"/>
              </w:rPr>
              <w:t>2、《中华人民共和国安全生产法》第六十</w:t>
            </w:r>
            <w:r>
              <w:rPr>
                <w:rFonts w:hint="eastAsia" w:ascii="仿宋_GB2312" w:hAnsi="宋体" w:eastAsia="仿宋_GB2312" w:cs="宋体"/>
                <w:sz w:val="24"/>
                <w:lang w:eastAsia="zh-CN"/>
              </w:rPr>
              <w:t>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1、许可承办部门对撤销许可项目审查情况说明；</w:t>
            </w:r>
          </w:p>
          <w:p>
            <w:pPr>
              <w:widowControl/>
              <w:rPr>
                <w:sz w:val="24"/>
              </w:rPr>
            </w:pPr>
            <w:r>
              <w:rPr>
                <w:rFonts w:hint="eastAsia" w:ascii="仿宋_GB2312" w:hAnsi="宋体" w:eastAsia="仿宋_GB2312" w:cs="宋体"/>
                <w:sz w:val="24"/>
              </w:rPr>
              <w:t>2、许可承办部门及主管领导意见；</w:t>
            </w:r>
          </w:p>
        </w:tc>
        <w:tc>
          <w:tcPr>
            <w:tcW w:w="2276"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1、撤销行政许可决定的主要事实依据是否清楚，证据是否确凿、充分；</w:t>
            </w:r>
          </w:p>
          <w:p>
            <w:pPr>
              <w:widowControl/>
              <w:rPr>
                <w:rFonts w:hint="eastAsia" w:ascii="仿宋_GB2312" w:hAnsi="宋体" w:eastAsia="仿宋_GB2312" w:cs="宋体"/>
                <w:sz w:val="24"/>
                <w:lang w:eastAsia="zh-CN"/>
              </w:rPr>
            </w:pPr>
            <w:r>
              <w:rPr>
                <w:rFonts w:hint="eastAsia" w:ascii="仿宋_GB2312" w:hAnsi="宋体" w:eastAsia="仿宋_GB2312" w:cs="宋体"/>
                <w:sz w:val="24"/>
              </w:rPr>
              <w:t>2、撤销行政许可是否对公共利益造成重大损害；</w:t>
            </w:r>
          </w:p>
          <w:p>
            <w:pPr>
              <w:widowControl/>
              <w:rPr>
                <w:sz w:val="24"/>
              </w:rPr>
            </w:pPr>
            <w:r>
              <w:rPr>
                <w:rFonts w:hint="eastAsia" w:ascii="仿宋_GB2312" w:hAnsi="宋体" w:eastAsia="仿宋_GB2312" w:cs="宋体"/>
                <w:sz w:val="24"/>
              </w:rPr>
              <w:t>3、被许可人的合法权益是否受到损害。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r>
              <w:rPr>
                <w:rFonts w:hint="eastAsia"/>
                <w:sz w:val="24"/>
              </w:rPr>
              <w:t>4</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经过听证程序作出行政许可的</w:t>
            </w:r>
          </w:p>
        </w:tc>
        <w:tc>
          <w:tcPr>
            <w:tcW w:w="1814" w:type="dxa"/>
            <w:vAlign w:val="center"/>
          </w:tcPr>
          <w:p>
            <w:pPr>
              <w:widowControl/>
              <w:rPr>
                <w:sz w:val="24"/>
              </w:rPr>
            </w:pPr>
            <w:r>
              <w:rPr>
                <w:rFonts w:hint="eastAsia" w:ascii="仿宋_GB2312" w:hAnsi="宋体" w:eastAsia="仿宋_GB2312" w:cs="宋体"/>
                <w:sz w:val="24"/>
              </w:rPr>
              <w:t>《中华人民共和国行政许可法》第四十六条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rFonts w:ascii="仿宋_GB2312" w:hAnsi="宋体" w:eastAsia="仿宋_GB2312" w:cs="宋体"/>
                <w:sz w:val="24"/>
              </w:rPr>
            </w:pPr>
            <w:r>
              <w:rPr>
                <w:rFonts w:hint="eastAsia" w:ascii="仿宋_GB2312" w:hAnsi="宋体" w:eastAsia="仿宋_GB2312" w:cs="宋体"/>
                <w:sz w:val="24"/>
              </w:rPr>
              <w:t>1、许可承办部门对经过听证程序作出行政许可的听证笔录；</w:t>
            </w:r>
          </w:p>
          <w:p>
            <w:pPr>
              <w:widowControl/>
              <w:rPr>
                <w:sz w:val="24"/>
              </w:rPr>
            </w:pPr>
            <w:r>
              <w:rPr>
                <w:rFonts w:hint="eastAsia" w:ascii="仿宋_GB2312" w:hAnsi="宋体" w:eastAsia="仿宋_GB2312" w:cs="宋体"/>
                <w:sz w:val="24"/>
              </w:rPr>
              <w:t>2、许可承办部门及主管领导意见；</w:t>
            </w:r>
          </w:p>
        </w:tc>
        <w:tc>
          <w:tcPr>
            <w:tcW w:w="2276" w:type="dxa"/>
            <w:vAlign w:val="center"/>
          </w:tcPr>
          <w:p>
            <w:pPr>
              <w:widowControl/>
              <w:rPr>
                <w:rFonts w:ascii="仿宋_GB2312" w:hAnsi="宋体" w:eastAsia="仿宋_GB2312" w:cs="宋体"/>
                <w:sz w:val="24"/>
              </w:rPr>
            </w:pPr>
            <w:r>
              <w:rPr>
                <w:rFonts w:hint="eastAsia" w:ascii="仿宋_GB2312" w:hAnsi="宋体" w:eastAsia="仿宋_GB2312" w:cs="宋体"/>
                <w:sz w:val="24"/>
              </w:rPr>
              <w:t>1、审核作出听证程序范围是否正确；</w:t>
            </w:r>
          </w:p>
          <w:p>
            <w:pPr>
              <w:widowControl/>
              <w:rPr>
                <w:sz w:val="24"/>
              </w:rPr>
            </w:pPr>
            <w:r>
              <w:rPr>
                <w:rFonts w:hint="eastAsia" w:ascii="仿宋_GB2312" w:hAnsi="宋体" w:eastAsia="仿宋_GB2312" w:cs="宋体"/>
                <w:sz w:val="24"/>
              </w:rPr>
              <w:t>2、审核作出听证程序程序是否合法；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ind w:firstLine="240" w:firstLineChars="100"/>
              <w:rPr>
                <w:sz w:val="24"/>
              </w:rPr>
            </w:pPr>
            <w:r>
              <w:rPr>
                <w:rFonts w:hint="eastAsia"/>
                <w:sz w:val="24"/>
              </w:rPr>
              <w:t>5</w:t>
            </w:r>
          </w:p>
        </w:tc>
        <w:tc>
          <w:tcPr>
            <w:tcW w:w="1923" w:type="dxa"/>
            <w:vMerge w:val="restart"/>
          </w:tcPr>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jc w:val="center"/>
              <w:rPr>
                <w:sz w:val="24"/>
              </w:rPr>
            </w:pPr>
            <w:r>
              <w:rPr>
                <w:rFonts w:hint="eastAsia" w:ascii="仿宋_GB2312" w:hAnsi="宋体" w:eastAsia="仿宋_GB2312" w:cs="宋体"/>
                <w:sz w:val="24"/>
              </w:rPr>
              <w:t>行政处罚事项</w:t>
            </w:r>
          </w:p>
        </w:tc>
        <w:tc>
          <w:tcPr>
            <w:tcW w:w="3150" w:type="dxa"/>
            <w:vAlign w:val="center"/>
          </w:tcPr>
          <w:p>
            <w:pPr>
              <w:widowControl/>
              <w:rPr>
                <w:sz w:val="24"/>
              </w:rPr>
            </w:pPr>
            <w:r>
              <w:rPr>
                <w:rFonts w:hint="eastAsia" w:ascii="仿宋_GB2312" w:hAnsi="宋体" w:eastAsia="仿宋_GB2312" w:cs="宋体"/>
                <w:sz w:val="24"/>
              </w:rPr>
              <w:t>对个人处以2万元以上罚款，对生产经营单位处以5万元以上罚款的行政处罚决定；没收违法所得或者没收非法财物价值相当于上述规定的数额的</w:t>
            </w:r>
          </w:p>
        </w:tc>
        <w:tc>
          <w:tcPr>
            <w:tcW w:w="1814" w:type="dxa"/>
            <w:vAlign w:val="center"/>
          </w:tcPr>
          <w:p>
            <w:pPr>
              <w:widowControl/>
              <w:rPr>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九十</w:t>
            </w:r>
            <w:r>
              <w:rPr>
                <w:rFonts w:hint="eastAsia" w:ascii="仿宋_GB2312" w:hAnsi="宋体" w:eastAsia="仿宋_GB2312" w:cs="宋体"/>
                <w:sz w:val="24"/>
              </w:rPr>
              <w:t>条至第一百零九条</w:t>
            </w:r>
          </w:p>
        </w:tc>
        <w:tc>
          <w:tcPr>
            <w:tcW w:w="1200" w:type="dxa"/>
            <w:vAlign w:val="center"/>
          </w:tcPr>
          <w:p>
            <w:pPr>
              <w:widowControl/>
              <w:rPr>
                <w:rFonts w:hint="eastAsia" w:eastAsiaTheme="minorEastAsia"/>
                <w:sz w:val="24"/>
                <w:lang w:eastAsia="zh-CN"/>
              </w:rPr>
            </w:pPr>
            <w:r>
              <w:rPr>
                <w:rFonts w:hint="eastAsia" w:ascii="仿宋_GB2312" w:hAnsi="宋体" w:eastAsia="仿宋_GB2312" w:cs="宋体"/>
                <w:sz w:val="24"/>
                <w:lang w:eastAsia="zh-CN"/>
              </w:rPr>
              <w:t>综合执法大队</w:t>
            </w:r>
          </w:p>
        </w:tc>
        <w:tc>
          <w:tcPr>
            <w:tcW w:w="3089" w:type="dxa"/>
            <w:vMerge w:val="restart"/>
            <w:vAlign w:val="center"/>
          </w:tcPr>
          <w:p>
            <w:pPr>
              <w:widowControl/>
              <w:jc w:val="center"/>
              <w:rPr>
                <w:sz w:val="24"/>
              </w:rPr>
            </w:pPr>
            <w:r>
              <w:rPr>
                <w:rFonts w:hint="eastAsia" w:ascii="仿宋_GB2312" w:hAnsi="宋体" w:eastAsia="仿宋_GB2312" w:cs="宋体"/>
                <w:sz w:val="24"/>
              </w:rPr>
              <w:t>现场检查记录、询问笔录等执法文书；相关证据资料；案件调查终结报告；拟制的行政处罚决定类文书。</w:t>
            </w:r>
          </w:p>
        </w:tc>
        <w:tc>
          <w:tcPr>
            <w:tcW w:w="2276" w:type="dxa"/>
            <w:vMerge w:val="restart"/>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1、行政执法机关主体是否合法，行政执法人员是否具备执法资格；</w:t>
            </w:r>
          </w:p>
          <w:p>
            <w:pPr>
              <w:widowControl/>
              <w:rPr>
                <w:rFonts w:hint="eastAsia" w:ascii="仿宋_GB2312" w:hAnsi="宋体" w:eastAsia="仿宋_GB2312" w:cs="宋体"/>
                <w:sz w:val="24"/>
                <w:lang w:eastAsia="zh-CN"/>
              </w:rPr>
            </w:pPr>
            <w:r>
              <w:rPr>
                <w:rFonts w:hint="eastAsia" w:ascii="仿宋_GB2312" w:hAnsi="宋体" w:eastAsia="仿宋_GB2312" w:cs="宋体"/>
                <w:sz w:val="24"/>
              </w:rPr>
              <w:t>2、主要事实是否清楚，证据是否确凿、充分；</w:t>
            </w:r>
          </w:p>
          <w:p>
            <w:pPr>
              <w:widowControl/>
              <w:rPr>
                <w:rFonts w:hint="eastAsia" w:ascii="仿宋_GB2312" w:hAnsi="宋体" w:eastAsia="仿宋_GB2312" w:cs="宋体"/>
                <w:sz w:val="24"/>
                <w:lang w:eastAsia="zh-CN"/>
              </w:rPr>
            </w:pPr>
            <w:r>
              <w:rPr>
                <w:rFonts w:hint="eastAsia" w:ascii="仿宋_GB2312" w:hAnsi="宋体" w:eastAsia="仿宋_GB2312" w:cs="宋体"/>
                <w:sz w:val="24"/>
              </w:rPr>
              <w:t>3、适用法律、法规、规章是否准确，执行裁量基准是否适当；</w:t>
            </w:r>
          </w:p>
          <w:p>
            <w:pPr>
              <w:widowControl/>
              <w:rPr>
                <w:rFonts w:hint="eastAsia" w:ascii="仿宋_GB2312" w:hAnsi="宋体" w:eastAsia="仿宋_GB2312" w:cs="宋体"/>
                <w:sz w:val="24"/>
                <w:lang w:eastAsia="zh-CN"/>
              </w:rPr>
            </w:pPr>
            <w:r>
              <w:rPr>
                <w:rFonts w:hint="eastAsia" w:ascii="仿宋_GB2312" w:hAnsi="宋体" w:eastAsia="仿宋_GB2312" w:cs="宋体"/>
                <w:sz w:val="24"/>
              </w:rPr>
              <w:t xml:space="preserve">4、程序是否合法； </w:t>
            </w:r>
          </w:p>
          <w:p>
            <w:pPr>
              <w:widowControl/>
              <w:rPr>
                <w:rFonts w:hint="eastAsia" w:ascii="仿宋_GB2312" w:hAnsi="宋体" w:eastAsia="仿宋_GB2312" w:cs="宋体"/>
                <w:sz w:val="24"/>
                <w:lang w:eastAsia="zh-CN"/>
              </w:rPr>
            </w:pPr>
            <w:r>
              <w:rPr>
                <w:rFonts w:hint="eastAsia" w:ascii="仿宋_GB2312" w:hAnsi="宋体" w:eastAsia="仿宋_GB2312" w:cs="宋体"/>
                <w:sz w:val="24"/>
              </w:rPr>
              <w:t>5、是否有超越本机关职权范围或滥用职权的情形；</w:t>
            </w:r>
          </w:p>
          <w:p>
            <w:pPr>
              <w:widowControl/>
              <w:rPr>
                <w:rFonts w:hint="eastAsia" w:ascii="仿宋_GB2312" w:hAnsi="宋体" w:eastAsia="仿宋_GB2312" w:cs="宋体"/>
                <w:sz w:val="24"/>
                <w:lang w:eastAsia="zh-CN"/>
              </w:rPr>
            </w:pPr>
            <w:r>
              <w:rPr>
                <w:rFonts w:hint="eastAsia" w:ascii="仿宋_GB2312" w:hAnsi="宋体" w:eastAsia="仿宋_GB2312" w:cs="宋体"/>
                <w:sz w:val="24"/>
              </w:rPr>
              <w:t>6、行政执法文书是否规范、齐备；</w:t>
            </w:r>
          </w:p>
          <w:p>
            <w:pPr>
              <w:widowControl/>
              <w:rPr>
                <w:rFonts w:hint="eastAsia" w:ascii="仿宋_GB2312" w:hAnsi="宋体" w:eastAsia="仿宋_GB2312" w:cs="宋体"/>
                <w:sz w:val="24"/>
                <w:lang w:eastAsia="zh-CN"/>
              </w:rPr>
            </w:pPr>
            <w:r>
              <w:rPr>
                <w:rFonts w:hint="eastAsia" w:ascii="仿宋_GB2312" w:hAnsi="宋体" w:eastAsia="仿宋_GB2312" w:cs="宋体"/>
                <w:sz w:val="24"/>
              </w:rPr>
              <w:t>7、违法行为是否涉嫌犯罪需要移送司法机关；</w:t>
            </w:r>
          </w:p>
          <w:p>
            <w:pPr>
              <w:widowControl/>
              <w:rPr>
                <w:sz w:val="24"/>
              </w:rPr>
            </w:pPr>
            <w:r>
              <w:rPr>
                <w:rFonts w:hint="eastAsia" w:ascii="仿宋_GB2312" w:hAnsi="宋体" w:eastAsia="仿宋_GB2312" w:cs="宋体"/>
                <w:sz w:val="24"/>
              </w:rPr>
              <w:t>8、其他应当审核的内容。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6</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责令停产停业责令停产停业整顿、责令停产停业、责令停止建设、责令停止施工的行政处罚决定</w:t>
            </w:r>
          </w:p>
        </w:tc>
        <w:tc>
          <w:tcPr>
            <w:tcW w:w="1814" w:type="dxa"/>
            <w:vAlign w:val="center"/>
          </w:tcPr>
          <w:p>
            <w:pPr>
              <w:widowControl/>
              <w:rPr>
                <w:rFonts w:hint="eastAsia" w:eastAsia="仿宋_GB2312"/>
                <w:sz w:val="24"/>
                <w:lang w:eastAsia="zh-CN"/>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七十</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p>
          <w:p>
            <w:pPr>
              <w:jc w:val="center"/>
              <w:rPr>
                <w:sz w:val="24"/>
              </w:rPr>
            </w:pPr>
            <w:r>
              <w:rPr>
                <w:rFonts w:hint="eastAsia"/>
                <w:sz w:val="24"/>
              </w:rPr>
              <w:t>7</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暂扣、吊销有关许可证、撤销有关执业资格、岗位证书的行政处罚决定</w:t>
            </w:r>
          </w:p>
        </w:tc>
        <w:tc>
          <w:tcPr>
            <w:tcW w:w="1814" w:type="dxa"/>
            <w:vAlign w:val="center"/>
          </w:tcPr>
          <w:p>
            <w:pPr>
              <w:widowControl/>
              <w:rPr>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九十二</w:t>
            </w:r>
            <w:r>
              <w:rPr>
                <w:rFonts w:hint="eastAsia" w:ascii="仿宋_GB2312" w:hAnsi="宋体" w:eastAsia="仿宋_GB2312" w:cs="宋体"/>
                <w:sz w:val="24"/>
              </w:rPr>
              <w:t>条、第九十</w:t>
            </w:r>
            <w:r>
              <w:rPr>
                <w:rFonts w:hint="eastAsia" w:ascii="仿宋_GB2312" w:hAnsi="宋体" w:eastAsia="仿宋_GB2312" w:cs="宋体"/>
                <w:sz w:val="24"/>
                <w:lang w:eastAsia="zh-CN"/>
              </w:rPr>
              <w:t>六</w:t>
            </w:r>
            <w:r>
              <w:rPr>
                <w:rFonts w:hint="eastAsia" w:ascii="仿宋_GB2312" w:hAnsi="宋体" w:eastAsia="仿宋_GB2312" w:cs="宋体"/>
                <w:sz w:val="24"/>
              </w:rPr>
              <w:t>条、第一百</w:t>
            </w:r>
            <w:r>
              <w:rPr>
                <w:rFonts w:hint="eastAsia" w:ascii="仿宋_GB2312" w:hAnsi="宋体" w:eastAsia="仿宋_GB2312" w:cs="宋体"/>
                <w:sz w:val="24"/>
                <w:lang w:eastAsia="zh-CN"/>
              </w:rPr>
              <w:t>一十三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8</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提请政府实施关闭的；</w:t>
            </w:r>
          </w:p>
        </w:tc>
        <w:tc>
          <w:tcPr>
            <w:tcW w:w="1814" w:type="dxa"/>
            <w:vAlign w:val="center"/>
          </w:tcPr>
          <w:p>
            <w:pPr>
              <w:widowControl/>
              <w:rPr>
                <w:sz w:val="24"/>
              </w:rPr>
            </w:pPr>
            <w:r>
              <w:rPr>
                <w:rFonts w:hint="eastAsia" w:ascii="仿宋_GB2312" w:hAnsi="宋体" w:eastAsia="仿宋_GB2312" w:cs="宋体"/>
                <w:sz w:val="24"/>
              </w:rPr>
              <w:t>《安全生产行政处罚办法》第四十八条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9</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减轻处罚或不予处罚的</w:t>
            </w:r>
          </w:p>
        </w:tc>
        <w:tc>
          <w:tcPr>
            <w:tcW w:w="1814" w:type="dxa"/>
            <w:vAlign w:val="center"/>
          </w:tcPr>
          <w:p>
            <w:pPr>
              <w:widowControl/>
              <w:rPr>
                <w:sz w:val="24"/>
              </w:rPr>
            </w:pPr>
            <w:r>
              <w:rPr>
                <w:rFonts w:hint="eastAsia" w:ascii="仿宋_GB2312" w:hAnsi="宋体" w:eastAsia="仿宋_GB2312" w:cs="宋体"/>
                <w:sz w:val="24"/>
              </w:rPr>
              <w:t>《安全生产行政处罚办法》第五十六条</w:t>
            </w:r>
          </w:p>
        </w:tc>
        <w:tc>
          <w:tcPr>
            <w:tcW w:w="1200" w:type="dxa"/>
          </w:tcPr>
          <w:p>
            <w:pPr>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10</w:t>
            </w:r>
          </w:p>
        </w:tc>
        <w:tc>
          <w:tcPr>
            <w:tcW w:w="1923" w:type="dxa"/>
            <w:vMerge w:val="continue"/>
          </w:tcPr>
          <w:p>
            <w:pPr>
              <w:rPr>
                <w:sz w:val="24"/>
              </w:rPr>
            </w:pP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案件情况疑难复杂，需要提请本局负责人集体讨论作出的决定；局长办公会认为属于重大的其他行政处罚决定</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《湖北省重大行政执法决定法制审核办法》第七条</w:t>
            </w:r>
          </w:p>
        </w:tc>
        <w:tc>
          <w:tcPr>
            <w:tcW w:w="1200" w:type="dxa"/>
          </w:tcPr>
          <w:p>
            <w:pPr>
              <w:rPr>
                <w:rFonts w:ascii="仿宋_GB2312" w:hAnsi="宋体" w:eastAsia="仿宋_GB2312" w:cs="宋体"/>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719" w:type="dxa"/>
          </w:tcPr>
          <w:p>
            <w:pPr>
              <w:jc w:val="center"/>
              <w:rPr>
                <w:sz w:val="24"/>
              </w:rPr>
            </w:pPr>
          </w:p>
          <w:p>
            <w:pPr>
              <w:jc w:val="center"/>
              <w:rPr>
                <w:sz w:val="24"/>
              </w:rPr>
            </w:pPr>
          </w:p>
          <w:p>
            <w:pPr>
              <w:jc w:val="center"/>
              <w:rPr>
                <w:sz w:val="24"/>
              </w:rPr>
            </w:pPr>
          </w:p>
          <w:p>
            <w:pPr>
              <w:rPr>
                <w:sz w:val="24"/>
              </w:rPr>
            </w:pPr>
          </w:p>
          <w:p>
            <w:pPr>
              <w:jc w:val="center"/>
              <w:rPr>
                <w:sz w:val="24"/>
              </w:rPr>
            </w:pPr>
          </w:p>
          <w:p>
            <w:pPr>
              <w:jc w:val="center"/>
              <w:rPr>
                <w:sz w:val="24"/>
              </w:rPr>
            </w:pPr>
          </w:p>
          <w:p>
            <w:pPr>
              <w:jc w:val="center"/>
              <w:rPr>
                <w:sz w:val="24"/>
              </w:rPr>
            </w:pPr>
            <w:r>
              <w:rPr>
                <w:rFonts w:hint="eastAsia"/>
                <w:sz w:val="24"/>
              </w:rPr>
              <w:t>11</w:t>
            </w:r>
          </w:p>
        </w:tc>
        <w:tc>
          <w:tcPr>
            <w:tcW w:w="1923" w:type="dxa"/>
            <w:vMerge w:val="restart"/>
          </w:tcPr>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sz w:val="24"/>
              </w:rPr>
            </w:pPr>
            <w:r>
              <w:rPr>
                <w:rFonts w:hint="eastAsia" w:ascii="仿宋_GB2312" w:hAnsi="宋体" w:eastAsia="仿宋_GB2312" w:cs="宋体"/>
                <w:sz w:val="24"/>
              </w:rPr>
              <w:t>行政强制事项</w:t>
            </w: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对不符合保障安全生产的国家标准或者行业标准的设施、设备、器材以及违法生产、储存、使用、经营、运输的危险物品予以查封或者扣押的；对违法生产、储存、使用、经营危险物品的作业场所予以查封的；对非药品类易制毒化学品相关的证据材料和违法物品予以扣押的；临时查封有关场所的；</w:t>
            </w:r>
          </w:p>
        </w:tc>
        <w:tc>
          <w:tcPr>
            <w:tcW w:w="1814"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rPr>
              <w:t>《中华人民共和国安全生产法》第六十</w:t>
            </w:r>
            <w:r>
              <w:rPr>
                <w:rFonts w:hint="eastAsia" w:ascii="仿宋_GB2312" w:hAnsi="宋体" w:eastAsia="仿宋_GB2312" w:cs="宋体"/>
                <w:sz w:val="24"/>
                <w:lang w:eastAsia="zh-CN"/>
              </w:rPr>
              <w:t>五</w:t>
            </w:r>
            <w:r>
              <w:rPr>
                <w:rFonts w:hint="eastAsia" w:ascii="仿宋_GB2312" w:hAnsi="宋体" w:eastAsia="仿宋_GB2312" w:cs="宋体"/>
                <w:sz w:val="24"/>
              </w:rPr>
              <w:t>条</w:t>
            </w:r>
          </w:p>
          <w:p>
            <w:pPr>
              <w:widowControl/>
              <w:rPr>
                <w:rFonts w:hint="eastAsia" w:ascii="仿宋_GB2312" w:hAnsi="宋体" w:eastAsia="仿宋_GB2312" w:cs="宋体"/>
                <w:sz w:val="24"/>
                <w:lang w:eastAsia="zh-CN"/>
              </w:rPr>
            </w:pPr>
          </w:p>
        </w:tc>
        <w:tc>
          <w:tcPr>
            <w:tcW w:w="1200" w:type="dxa"/>
            <w:vAlign w:val="center"/>
          </w:tcPr>
          <w:p>
            <w:pPr>
              <w:widowControl/>
              <w:rPr>
                <w:rFonts w:ascii="仿宋_GB2312" w:hAnsi="宋体" w:eastAsia="仿宋_GB2312" w:cs="宋体"/>
                <w:sz w:val="24"/>
              </w:rPr>
            </w:pPr>
            <w:r>
              <w:rPr>
                <w:rFonts w:hint="eastAsia" w:ascii="仿宋_GB2312" w:hAnsi="宋体" w:eastAsia="仿宋_GB2312" w:cs="宋体"/>
                <w:sz w:val="24"/>
                <w:lang w:eastAsia="zh-CN"/>
              </w:rPr>
              <w:t>综合执法大队</w:t>
            </w:r>
          </w:p>
        </w:tc>
        <w:tc>
          <w:tcPr>
            <w:tcW w:w="3089" w:type="dxa"/>
            <w:vAlign w:val="center"/>
          </w:tcPr>
          <w:p>
            <w:pPr>
              <w:widowControl/>
              <w:rPr>
                <w:sz w:val="24"/>
              </w:rPr>
            </w:pPr>
            <w:r>
              <w:rPr>
                <w:rFonts w:hint="eastAsia" w:ascii="仿宋_GB2312" w:hAnsi="宋体" w:eastAsia="仿宋_GB2312" w:cs="宋体"/>
                <w:sz w:val="24"/>
              </w:rPr>
              <w:t>现场检查记录、询问笔录等执法文书；相关证据资料；案件调查终结报告；拟制的查封扣押类文书。</w:t>
            </w:r>
          </w:p>
        </w:tc>
        <w:tc>
          <w:tcPr>
            <w:tcW w:w="2276" w:type="dxa"/>
            <w:vMerge w:val="restart"/>
          </w:tcPr>
          <w:p>
            <w:pPr>
              <w:rPr>
                <w:rFonts w:hint="eastAsia" w:ascii="仿宋_GB2312" w:hAnsi="宋体" w:eastAsia="仿宋_GB2312" w:cs="宋体"/>
                <w:sz w:val="24"/>
                <w:lang w:eastAsia="zh-CN"/>
              </w:rPr>
            </w:pPr>
            <w:r>
              <w:rPr>
                <w:rFonts w:hint="eastAsia" w:ascii="仿宋_GB2312" w:hAnsi="宋体" w:eastAsia="仿宋_GB2312" w:cs="宋体"/>
                <w:sz w:val="24"/>
              </w:rPr>
              <w:t>1、行政执法机关主体是否合法，行政执法人员是否具备执法资格；</w:t>
            </w:r>
          </w:p>
          <w:p>
            <w:pPr>
              <w:rPr>
                <w:rFonts w:hint="eastAsia" w:ascii="仿宋_GB2312" w:hAnsi="宋体" w:eastAsia="仿宋_GB2312" w:cs="宋体"/>
                <w:sz w:val="24"/>
                <w:lang w:eastAsia="zh-CN"/>
              </w:rPr>
            </w:pPr>
            <w:r>
              <w:rPr>
                <w:rFonts w:hint="eastAsia" w:ascii="仿宋_GB2312" w:hAnsi="宋体" w:eastAsia="仿宋_GB2312" w:cs="宋体"/>
                <w:sz w:val="24"/>
              </w:rPr>
              <w:t>2、事实是否清楚，证据是否确凿充分；</w:t>
            </w:r>
          </w:p>
          <w:p>
            <w:pPr>
              <w:rPr>
                <w:rFonts w:hint="eastAsia" w:ascii="仿宋_GB2312" w:hAnsi="宋体" w:eastAsia="仿宋_GB2312" w:cs="宋体"/>
                <w:sz w:val="24"/>
                <w:lang w:eastAsia="zh-CN"/>
              </w:rPr>
            </w:pPr>
            <w:r>
              <w:rPr>
                <w:rFonts w:hint="eastAsia" w:ascii="仿宋_GB2312" w:hAnsi="宋体" w:eastAsia="仿宋_GB2312" w:cs="宋体"/>
                <w:sz w:val="24"/>
              </w:rPr>
              <w:t>3、适用法律、法规、规章是否准确；</w:t>
            </w:r>
          </w:p>
          <w:p>
            <w:pPr>
              <w:rPr>
                <w:rFonts w:hint="eastAsia" w:ascii="仿宋_GB2312" w:hAnsi="宋体" w:eastAsia="仿宋_GB2312" w:cs="宋体"/>
                <w:sz w:val="24"/>
                <w:lang w:eastAsia="zh-CN"/>
              </w:rPr>
            </w:pPr>
            <w:r>
              <w:rPr>
                <w:rFonts w:hint="eastAsia" w:ascii="仿宋_GB2312" w:hAnsi="宋体" w:eastAsia="仿宋_GB2312" w:cs="宋体"/>
                <w:sz w:val="24"/>
              </w:rPr>
              <w:t xml:space="preserve">4、是否符合采取强制措施的条件，程序是否合法； </w:t>
            </w:r>
          </w:p>
          <w:p>
            <w:pPr>
              <w:rPr>
                <w:rFonts w:hint="eastAsia" w:ascii="仿宋_GB2312" w:hAnsi="宋体" w:eastAsia="仿宋_GB2312" w:cs="宋体"/>
                <w:sz w:val="24"/>
                <w:lang w:eastAsia="zh-CN"/>
              </w:rPr>
            </w:pPr>
            <w:r>
              <w:rPr>
                <w:rFonts w:hint="eastAsia" w:ascii="仿宋_GB2312" w:hAnsi="宋体" w:eastAsia="仿宋_GB2312" w:cs="宋体"/>
                <w:sz w:val="24"/>
              </w:rPr>
              <w:t>5、是否有超越本机关职权范围或滥用职权的情形；</w:t>
            </w:r>
          </w:p>
          <w:p>
            <w:pPr>
              <w:rPr>
                <w:rFonts w:hint="eastAsia" w:ascii="仿宋_GB2312" w:hAnsi="宋体" w:eastAsia="仿宋_GB2312" w:cs="宋体"/>
                <w:sz w:val="24"/>
                <w:lang w:eastAsia="zh-CN"/>
              </w:rPr>
            </w:pPr>
            <w:r>
              <w:rPr>
                <w:rFonts w:hint="eastAsia" w:ascii="仿宋_GB2312" w:hAnsi="宋体" w:eastAsia="仿宋_GB2312" w:cs="宋体"/>
                <w:sz w:val="24"/>
              </w:rPr>
              <w:t>6、行政执法文书是否规范、齐备；</w:t>
            </w:r>
          </w:p>
          <w:p>
            <w:pPr>
              <w:rPr>
                <w:sz w:val="24"/>
              </w:rPr>
            </w:pPr>
            <w:r>
              <w:rPr>
                <w:rFonts w:hint="eastAsia" w:ascii="仿宋_GB2312" w:hAnsi="宋体" w:eastAsia="仿宋_GB2312" w:cs="宋体"/>
                <w:sz w:val="24"/>
              </w:rPr>
              <w:t>7、其他应当审核的内容。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719" w:type="dxa"/>
          </w:tcPr>
          <w:p>
            <w:pPr>
              <w:jc w:val="center"/>
              <w:rPr>
                <w:sz w:val="24"/>
              </w:rPr>
            </w:pPr>
          </w:p>
          <w:p>
            <w:pPr>
              <w:jc w:val="center"/>
              <w:rPr>
                <w:sz w:val="24"/>
              </w:rPr>
            </w:pPr>
          </w:p>
          <w:p>
            <w:pPr>
              <w:jc w:val="center"/>
              <w:rPr>
                <w:sz w:val="24"/>
              </w:rPr>
            </w:pPr>
          </w:p>
          <w:p>
            <w:pPr>
              <w:jc w:val="center"/>
              <w:rPr>
                <w:sz w:val="24"/>
              </w:rPr>
            </w:pPr>
            <w:r>
              <w:rPr>
                <w:rFonts w:hint="eastAsia"/>
                <w:sz w:val="24"/>
              </w:rPr>
              <w:t>12</w:t>
            </w:r>
          </w:p>
        </w:tc>
        <w:tc>
          <w:tcPr>
            <w:tcW w:w="1923" w:type="dxa"/>
            <w:vMerge w:val="continue"/>
          </w:tcPr>
          <w:p>
            <w:pPr>
              <w:rPr>
                <w:sz w:val="24"/>
              </w:rPr>
            </w:pP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通知有关部门、单位强制停止供电，停止供应民用爆炸物品，强制被处罚单位履行行政决定的；</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七十</w:t>
            </w:r>
            <w:r>
              <w:rPr>
                <w:rFonts w:hint="eastAsia" w:ascii="仿宋_GB2312" w:hAnsi="宋体" w:eastAsia="仿宋_GB2312" w:cs="宋体"/>
                <w:sz w:val="24"/>
              </w:rPr>
              <w:t>条</w:t>
            </w:r>
          </w:p>
        </w:tc>
        <w:tc>
          <w:tcPr>
            <w:tcW w:w="1200"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lang w:eastAsia="zh-CN"/>
              </w:rPr>
              <w:t>综合执法大队</w:t>
            </w:r>
          </w:p>
        </w:tc>
        <w:tc>
          <w:tcPr>
            <w:tcW w:w="3089" w:type="dxa"/>
            <w:vAlign w:val="center"/>
          </w:tcPr>
          <w:p>
            <w:pPr>
              <w:widowControl/>
              <w:rPr>
                <w:sz w:val="24"/>
              </w:rPr>
            </w:pPr>
            <w:r>
              <w:rPr>
                <w:rFonts w:hint="eastAsia" w:ascii="仿宋_GB2312" w:hAnsi="宋体" w:eastAsia="仿宋_GB2312" w:cs="宋体"/>
                <w:sz w:val="24"/>
              </w:rPr>
              <w:t>现场检查记录、询问笔录等执法文书；相关证据资料；案件调查终结报告；拟制的停止供电（供应民用爆炸物品）类文书。</w:t>
            </w: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19" w:type="dxa"/>
          </w:tcPr>
          <w:p>
            <w:pPr>
              <w:jc w:val="center"/>
              <w:rPr>
                <w:sz w:val="24"/>
              </w:rPr>
            </w:pPr>
          </w:p>
          <w:p>
            <w:pPr>
              <w:jc w:val="center"/>
              <w:rPr>
                <w:sz w:val="24"/>
              </w:rPr>
            </w:pPr>
          </w:p>
          <w:p>
            <w:pPr>
              <w:jc w:val="center"/>
              <w:rPr>
                <w:sz w:val="24"/>
              </w:rPr>
            </w:pPr>
            <w:r>
              <w:rPr>
                <w:rFonts w:hint="eastAsia"/>
                <w:sz w:val="24"/>
              </w:rPr>
              <w:t>13</w:t>
            </w:r>
          </w:p>
        </w:tc>
        <w:tc>
          <w:tcPr>
            <w:tcW w:w="1923" w:type="dxa"/>
          </w:tcPr>
          <w:p>
            <w:pPr>
              <w:rPr>
                <w:rFonts w:ascii="仿宋_GB2312" w:hAnsi="宋体" w:eastAsia="仿宋_GB2312" w:cs="宋体"/>
                <w:sz w:val="24"/>
              </w:rPr>
            </w:pPr>
          </w:p>
          <w:p>
            <w:pPr>
              <w:rPr>
                <w:rFonts w:ascii="仿宋_GB2312" w:hAnsi="宋体" w:eastAsia="仿宋_GB2312" w:cs="宋体"/>
                <w:sz w:val="24"/>
              </w:rPr>
            </w:pPr>
          </w:p>
          <w:p>
            <w:pPr>
              <w:rPr>
                <w:sz w:val="24"/>
              </w:rPr>
            </w:pPr>
            <w:r>
              <w:rPr>
                <w:rFonts w:hint="eastAsia" w:ascii="仿宋_GB2312" w:hAnsi="宋体" w:eastAsia="仿宋_GB2312" w:cs="宋体"/>
                <w:sz w:val="24"/>
              </w:rPr>
              <w:t>行政征用事项</w:t>
            </w: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对物资、设施、设备、交通运输工具等其他合法财产的征用决定；对场地的征用决定；法律法规规章规定其他重大行政征用决定事项；</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《生产安全事故应急条例》第十八条第四款</w:t>
            </w:r>
          </w:p>
        </w:tc>
        <w:tc>
          <w:tcPr>
            <w:tcW w:w="1200" w:type="dxa"/>
            <w:vAlign w:val="center"/>
          </w:tcPr>
          <w:p>
            <w:pPr>
              <w:widowControl/>
              <w:rPr>
                <w:rFonts w:ascii="仿宋_GB2312" w:hAnsi="宋体" w:eastAsia="仿宋_GB2312" w:cs="宋体"/>
                <w:sz w:val="24"/>
              </w:rPr>
            </w:pPr>
            <w:r>
              <w:rPr>
                <w:rFonts w:hint="eastAsia" w:ascii="仿宋_GB2312" w:hAnsi="宋体" w:eastAsia="仿宋_GB2312" w:cs="宋体"/>
                <w:sz w:val="24"/>
              </w:rPr>
              <w:t>局机关各</w:t>
            </w:r>
            <w:r>
              <w:rPr>
                <w:rFonts w:hint="eastAsia" w:ascii="仿宋_GB2312" w:hAnsi="宋体" w:eastAsia="仿宋_GB2312" w:cs="宋体"/>
                <w:sz w:val="24"/>
                <w:lang w:eastAsia="zh-CN"/>
              </w:rPr>
              <w:t>股</w:t>
            </w:r>
            <w:r>
              <w:rPr>
                <w:rFonts w:hint="eastAsia" w:ascii="仿宋_GB2312" w:hAnsi="宋体" w:eastAsia="仿宋_GB2312" w:cs="宋体"/>
                <w:sz w:val="24"/>
              </w:rPr>
              <w:t>室</w:t>
            </w:r>
          </w:p>
        </w:tc>
        <w:tc>
          <w:tcPr>
            <w:tcW w:w="3089" w:type="dxa"/>
            <w:vAlign w:val="center"/>
          </w:tcPr>
          <w:p>
            <w:pPr>
              <w:widowControl/>
              <w:rPr>
                <w:sz w:val="24"/>
              </w:rPr>
            </w:pPr>
            <w:r>
              <w:rPr>
                <w:rFonts w:hint="eastAsia" w:ascii="仿宋_GB2312" w:hAnsi="宋体" w:eastAsia="仿宋_GB2312" w:cs="宋体"/>
                <w:sz w:val="24"/>
              </w:rPr>
              <w:t>依法发布调用和征用应急资源的决定</w:t>
            </w:r>
          </w:p>
        </w:tc>
        <w:tc>
          <w:tcPr>
            <w:tcW w:w="2276" w:type="dxa"/>
            <w:vAlign w:val="center"/>
          </w:tcPr>
          <w:p>
            <w:pPr>
              <w:widowControl/>
              <w:rPr>
                <w:sz w:val="24"/>
              </w:rPr>
            </w:pPr>
            <w:r>
              <w:rPr>
                <w:rFonts w:hint="eastAsia" w:ascii="仿宋_GB2312" w:hAnsi="宋体" w:eastAsia="仿宋_GB2312" w:cs="宋体"/>
                <w:sz w:val="24"/>
              </w:rPr>
              <w:t>征用决定是否合法。</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ljOTJiMjEzNDY3ZjE3ODgxMjkxNWM5YTRmZjcifQ=="/>
  </w:docVars>
  <w:rsids>
    <w:rsidRoot w:val="6EB26C6A"/>
    <w:rsid w:val="00071E8B"/>
    <w:rsid w:val="00094A66"/>
    <w:rsid w:val="00574B0B"/>
    <w:rsid w:val="019F616F"/>
    <w:rsid w:val="023F3CAD"/>
    <w:rsid w:val="035A4AD3"/>
    <w:rsid w:val="036D0B71"/>
    <w:rsid w:val="08AD1617"/>
    <w:rsid w:val="093E7340"/>
    <w:rsid w:val="0A363B81"/>
    <w:rsid w:val="0B116F35"/>
    <w:rsid w:val="0B327D82"/>
    <w:rsid w:val="0DB4764E"/>
    <w:rsid w:val="0EA65650"/>
    <w:rsid w:val="10FE0333"/>
    <w:rsid w:val="11371B5E"/>
    <w:rsid w:val="133E7E78"/>
    <w:rsid w:val="17366CE2"/>
    <w:rsid w:val="1B6F00DB"/>
    <w:rsid w:val="1BD712B5"/>
    <w:rsid w:val="26423B3B"/>
    <w:rsid w:val="285F2F08"/>
    <w:rsid w:val="2EEA1842"/>
    <w:rsid w:val="30A86A25"/>
    <w:rsid w:val="35F41E2B"/>
    <w:rsid w:val="36D45E3B"/>
    <w:rsid w:val="375F6077"/>
    <w:rsid w:val="3A297303"/>
    <w:rsid w:val="3C452770"/>
    <w:rsid w:val="3E3A7470"/>
    <w:rsid w:val="3F61519E"/>
    <w:rsid w:val="40676E3E"/>
    <w:rsid w:val="434D117C"/>
    <w:rsid w:val="43572B0A"/>
    <w:rsid w:val="43E47FE0"/>
    <w:rsid w:val="44F21ACA"/>
    <w:rsid w:val="45634193"/>
    <w:rsid w:val="49FA278C"/>
    <w:rsid w:val="4E7D09D4"/>
    <w:rsid w:val="52E5463D"/>
    <w:rsid w:val="57362719"/>
    <w:rsid w:val="58F56C8F"/>
    <w:rsid w:val="5A651EAF"/>
    <w:rsid w:val="5B0341D2"/>
    <w:rsid w:val="5B755E54"/>
    <w:rsid w:val="5B845989"/>
    <w:rsid w:val="611216CD"/>
    <w:rsid w:val="62B16E7A"/>
    <w:rsid w:val="63EB1D06"/>
    <w:rsid w:val="699258B6"/>
    <w:rsid w:val="6A5E3F3C"/>
    <w:rsid w:val="6A8113F8"/>
    <w:rsid w:val="6D752911"/>
    <w:rsid w:val="6E137F3E"/>
    <w:rsid w:val="6EB26C6A"/>
    <w:rsid w:val="70C75B4C"/>
    <w:rsid w:val="71B8320E"/>
    <w:rsid w:val="752E4174"/>
    <w:rsid w:val="76554936"/>
    <w:rsid w:val="77C1141B"/>
    <w:rsid w:val="78923AB4"/>
    <w:rsid w:val="792555BA"/>
    <w:rsid w:val="7F950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1"/>
    <w:basedOn w:val="1"/>
    <w:qFormat/>
    <w:uiPriority w:val="0"/>
    <w:pPr>
      <w:spacing w:line="439" w:lineRule="auto"/>
      <w:ind w:firstLine="400"/>
    </w:pPr>
    <w:rPr>
      <w:rFonts w:ascii="宋体" w:hAnsi="宋体" w:eastAsia="宋体" w:cs="宋体"/>
      <w:sz w:val="20"/>
      <w:szCs w:val="20"/>
      <w:lang w:val="zh-CN" w:bidi="zh-CN"/>
    </w:rPr>
  </w:style>
  <w:style w:type="paragraph" w:customStyle="1" w:styleId="9">
    <w:name w:val="Heading #1|1"/>
    <w:basedOn w:val="1"/>
    <w:qFormat/>
    <w:uiPriority w:val="0"/>
    <w:pPr>
      <w:spacing w:after="220"/>
      <w:jc w:val="center"/>
      <w:outlineLvl w:val="0"/>
    </w:pPr>
    <w:rPr>
      <w:rFonts w:ascii="宋体" w:hAnsi="宋体" w:eastAsia="宋体" w:cs="宋体"/>
      <w:sz w:val="26"/>
      <w:szCs w:val="26"/>
      <w:lang w:val="zh-CN" w:bidi="zh-CN"/>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299</Words>
  <Characters>1709</Characters>
  <Lines>14</Lines>
  <Paragraphs>4</Paragraphs>
  <TotalTime>1</TotalTime>
  <ScaleCrop>false</ScaleCrop>
  <LinksUpToDate>false</LinksUpToDate>
  <CharactersWithSpaces>2004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2019-07-22T07:41:00Z</dcterms:created>
  <dc:creator>细菌</dc:creator>
  <cp:lastModifiedBy>文艺</cp:lastModifiedBy>
  <dcterms:modified xsi:type="dcterms:W3CDTF">2023-11-05T11:37:55Z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FCD21C187E6C4C7CA06C73C24A356079_13</vt:lpwstr>
  </property>
</Properties>
</file>