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黄石市广场路小学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黄石市广场路小学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黄石市广场路小学是参照公务员法管理全额拨款事业单位，执行事业单位会计制度，上级主管部门为黄石港区教育局，隶属于黄石港区财政局，财务制度执行的是事业单位会计制度。主要职责：</w:t>
      </w:r>
      <w:r>
        <w:rPr>
          <w:rFonts w:hint="eastAsia" w:asciiTheme="minorEastAsia" w:hAnsiTheme="minorEastAsia" w:eastAsiaTheme="minorEastAsia" w:cstheme="minorEastAsia"/>
          <w:color w:val="000000"/>
          <w:spacing w:val="2"/>
          <w:sz w:val="28"/>
          <w:szCs w:val="28"/>
          <w:lang w:val="en-US" w:eastAsia="zh-CN"/>
        </w:rPr>
        <w:t>1、</w:t>
      </w:r>
      <w:r>
        <w:rPr>
          <w:rFonts w:hint="eastAsia" w:asciiTheme="minorEastAsia" w:hAnsiTheme="minorEastAsia" w:eastAsiaTheme="minorEastAsia" w:cstheme="minorEastAsia"/>
          <w:color w:val="000000"/>
          <w:spacing w:val="2"/>
          <w:sz w:val="28"/>
          <w:szCs w:val="28"/>
          <w:lang w:eastAsia="zh-CN"/>
        </w:rPr>
        <w:t>宣传贯彻执行党和国家的教育方针、政策、法律法规等，坚持依法治教、依，贯彻执行区教育局的行政规章制度。2、制定符合党的教育方针和国家教育法律法规以及本校实际的教育发展规划和学校布局调整规划，并抓好组织实施和落实工作。3、组织开展本校的教育教学科研和教育教学改革，科研兴教，科研兴校。负责对本校教育教学业务的具体管理，负责教育教学管理及教研教改工作，全力推进素质教育实施。4、巩固提高“两基”工作成果和整体水平，配合各级人民政府依法动员、组织适龄儿童少年入学，推进普及义务教育。5、按照干部和教师的职数、编制和管理权限，负责本校教师人事管理、继续教育、考核考评等工作。6、负责本校财务和基建管理，筹措资金，改善办学条件等工作。7、指导、管理、检查、评价本校的教育教学工作，提高办学质量和办学效益。照义务教育课程计划，开齐课程，全面提高教学质量。</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r>
        <w:rPr>
          <w:rFonts w:hint="eastAsia" w:asciiTheme="minorEastAsia" w:hAnsiTheme="minorEastAsia" w:eastAsiaTheme="minorEastAsia" w:cstheme="minorEastAsia"/>
          <w:color w:val="000000"/>
          <w:spacing w:val="2"/>
          <w:sz w:val="28"/>
          <w:szCs w:val="28"/>
          <w:lang w:eastAsia="zh-CN"/>
        </w:rPr>
        <w:t>黄石市广场路小学单位机构数为1，预算单位数为1。在职教职工145人，离休1人。45个教学班，学生人数2983人。</w:t>
      </w: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黄石市广场路小学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14288145</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14288145</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14288145</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14288145</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14288145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14288145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14288145</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14288145</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14288145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14288145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14288145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14288145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14288145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14288145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14288145</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14288145</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14288145</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14288145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14288145</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14288145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黄石市广场路小学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14288145</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14288145</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14288145</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14288145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14288145</w:t>
            </w:r>
          </w:p>
        </w:tc>
        <w:tc>
          <w:tcPr>
            <w:tcW w:w="1815" w:type="dxa"/>
            <w:vAlign w:val="center"/>
          </w:tcPr>
          <w:p>
            <w:pPr>
              <w:widowControl/>
              <w:jc w:val="center"/>
            </w:pPr>
            <w:r>
              <w:rPr>
                <w:rFonts w:hint="eastAsia" w:ascii="宋体" w:hAnsi="宋体" w:cs="宋体"/>
                <w:kern w:val="0"/>
                <w:sz w:val="24"/>
                <w:lang w:val="en-US" w:eastAsia="zh-CN"/>
              </w:rPr>
              <w:t>14288145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14288145</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14288145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黄石市广场路小学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rPr>
                <w:rFonts w:hint="default"/>
                <w:lang w:val="en-US"/>
              </w:rPr>
            </w:pPr>
            <w:r>
              <w:rPr>
                <w:rFonts w:hint="eastAsia" w:ascii="宋体" w:hAnsi="宋体" w:cs="宋体"/>
                <w:b/>
                <w:i w:val="0"/>
                <w:color w:val="000000"/>
                <w:kern w:val="0"/>
                <w:sz w:val="24"/>
                <w:szCs w:val="24"/>
                <w:u w:val="none"/>
                <w:lang w:val="en-US" w:eastAsia="zh-CN" w:bidi="ar"/>
              </w:rPr>
              <w:t>14288146</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12</w:t>
            </w:r>
            <w:r>
              <w:rPr>
                <w:rFonts w:hint="eastAsia" w:ascii="宋体" w:hAnsi="宋体" w:cs="宋体"/>
                <w:b/>
                <w:i w:val="0"/>
                <w:color w:val="000000"/>
                <w:kern w:val="0"/>
                <w:sz w:val="24"/>
                <w:szCs w:val="24"/>
                <w:u w:val="none"/>
                <w:lang w:val="en-US" w:eastAsia="zh-CN" w:bidi="ar"/>
              </w:rPr>
              <w:t>71</w:t>
            </w:r>
            <w:r>
              <w:rPr>
                <w:rFonts w:hint="eastAsia" w:ascii="宋体" w:hAnsi="宋体" w:eastAsia="宋体" w:cs="宋体"/>
                <w:b/>
                <w:i w:val="0"/>
                <w:color w:val="000000"/>
                <w:kern w:val="0"/>
                <w:sz w:val="24"/>
                <w:szCs w:val="24"/>
                <w:u w:val="none"/>
                <w:lang w:val="en-US" w:eastAsia="zh-CN" w:bidi="ar"/>
              </w:rPr>
              <w:t xml:space="preserve">6132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12676132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5392571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5392571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2964716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2964716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3342488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3342488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976357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976357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40000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40000</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953744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953744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215712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215712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267840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267840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177152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177152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293040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293040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618270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618270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92473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92473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39312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39312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486485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486485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黄石市广场路小学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14288145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12716132</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953744</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618270元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14288145</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12704033</w:t>
      </w:r>
      <w:r>
        <w:rPr>
          <w:rFonts w:hint="eastAsia" w:ascii="宋体" w:hAnsi="宋体" w:cs="宋体"/>
          <w:sz w:val="28"/>
          <w:szCs w:val="28"/>
          <w:lang w:eastAsia="zh-CN"/>
        </w:rPr>
        <w:t>元增加</w:t>
      </w:r>
      <w:r>
        <w:rPr>
          <w:rFonts w:hint="eastAsia" w:ascii="宋体" w:hAnsi="宋体" w:cs="宋体"/>
          <w:sz w:val="28"/>
          <w:szCs w:val="28"/>
          <w:lang w:val="en-US" w:eastAsia="zh-CN"/>
        </w:rPr>
        <w:t>1584112</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8670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953744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110</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215712</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2996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215712</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22320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267840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293040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111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293040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8857600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177152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10DE5CCE"/>
    <w:rsid w:val="13282DA3"/>
    <w:rsid w:val="13E13CED"/>
    <w:rsid w:val="15E37A96"/>
    <w:rsid w:val="1890717A"/>
    <w:rsid w:val="1AFC74FE"/>
    <w:rsid w:val="1DF870CB"/>
    <w:rsid w:val="1FC44BAD"/>
    <w:rsid w:val="1FD87E41"/>
    <w:rsid w:val="26A70433"/>
    <w:rsid w:val="270616CB"/>
    <w:rsid w:val="272C7F9F"/>
    <w:rsid w:val="2E871533"/>
    <w:rsid w:val="329A5123"/>
    <w:rsid w:val="32B576AB"/>
    <w:rsid w:val="35F472E2"/>
    <w:rsid w:val="38072786"/>
    <w:rsid w:val="38AA0644"/>
    <w:rsid w:val="3BB97AB6"/>
    <w:rsid w:val="3FFA23C8"/>
    <w:rsid w:val="456F28A2"/>
    <w:rsid w:val="46F70386"/>
    <w:rsid w:val="4873326C"/>
    <w:rsid w:val="4AA53B74"/>
    <w:rsid w:val="4B0525FC"/>
    <w:rsid w:val="4F472EA9"/>
    <w:rsid w:val="51D71E91"/>
    <w:rsid w:val="5276341A"/>
    <w:rsid w:val="53BB4C1E"/>
    <w:rsid w:val="55403DF7"/>
    <w:rsid w:val="55772D74"/>
    <w:rsid w:val="582D2750"/>
    <w:rsid w:val="5CD276F1"/>
    <w:rsid w:val="5FAA5B11"/>
    <w:rsid w:val="62A94F66"/>
    <w:rsid w:val="6475535B"/>
    <w:rsid w:val="65286313"/>
    <w:rsid w:val="65BB4122"/>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2019-10-28T07:22:41Z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