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375" w:afterAutospacing="0" w:line="450" w:lineRule="atLeast"/>
        <w:jc w:val="center"/>
        <w:rPr>
          <w:rFonts w:hint="default" w:ascii="微软雅黑" w:hAnsi="微软雅黑" w:eastAsia="微软雅黑" w:cs="微软雅黑"/>
          <w:color w:val="BC1010"/>
          <w:sz w:val="40"/>
          <w:szCs w:val="40"/>
        </w:rPr>
      </w:pPr>
      <w:r>
        <w:rPr>
          <w:rFonts w:ascii="微软雅黑" w:hAnsi="微软雅黑" w:eastAsia="微软雅黑" w:cs="微软雅黑"/>
          <w:color w:val="BC1010"/>
          <w:sz w:val="40"/>
          <w:szCs w:val="40"/>
          <w:shd w:val="clear" w:color="auto" w:fill="FFFFFF"/>
        </w:rPr>
        <w:t>广场路小学20</w:t>
      </w:r>
      <w:r>
        <w:rPr>
          <w:rFonts w:hint="default" w:ascii="微软雅黑" w:hAnsi="微软雅黑" w:eastAsia="微软雅黑" w:cs="微软雅黑"/>
          <w:color w:val="BC1010"/>
          <w:sz w:val="40"/>
          <w:szCs w:val="40"/>
          <w:shd w:val="clear" w:color="auto" w:fill="FFFFFF"/>
        </w:rPr>
        <w:t>20</w:t>
      </w:r>
      <w:r>
        <w:rPr>
          <w:rFonts w:ascii="微软雅黑" w:hAnsi="微软雅黑" w:eastAsia="微软雅黑" w:cs="微软雅黑"/>
          <w:color w:val="BC1010"/>
          <w:sz w:val="40"/>
          <w:szCs w:val="40"/>
          <w:shd w:val="clear" w:color="auto" w:fill="FFFFFF"/>
        </w:rPr>
        <w:t>年决算公开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color w:val="333333"/>
        </w:rPr>
      </w:pP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黄石港区广场路小学20</w:t>
      </w:r>
      <w:r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  <w:t>20</w:t>
      </w: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年决算公开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目  录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第一部分:部门基本情况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一、部门主要职责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二、部门决算单位构成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第二部分: 部门20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年部门决算表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一、收入支出决算总表（表1）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二、收入决算表（表2）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三、支出决算表（表3）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四、财政拨款收入支出决算总表（表4）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五、一般公共预算财政拨款支出决算表（表5）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六、一般公共预算财政拨款基本支出决算表（表6）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七、一般公共预算财政拨款“三公”经费支出决算表（表7）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八、政府性基金预算财政拨款收入支出决算表（表8）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第三部分：部门2020年部门决算情况说明</w:t>
      </w:r>
    </w:p>
    <w:p>
      <w:pPr>
        <w:pStyle w:val="16"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080000" w:fill="FFFFFF"/>
        </w:rPr>
        <w:t>一、预算执行情况分析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二、关于“三公”经费支出说明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三、关于机关运行经费支出说明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四、关于政府采购支出说明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五、关于国有资产占用情况说明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六、重点绩效评价结果等预算绩效情况说明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、决算收支增减变化情况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第四部分：名词解释 </w:t>
      </w:r>
    </w:p>
    <w:p/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</w:p>
    <w:p>
      <w:pPr>
        <w:pStyle w:val="6"/>
        <w:widowControl/>
        <w:spacing w:before="76" w:beforeAutospacing="0" w:after="76" w:afterAutospacing="0" w:line="450" w:lineRule="atLeast"/>
        <w:ind w:firstLine="420"/>
        <w:jc w:val="center"/>
        <w:rPr>
          <w:color w:val="333333"/>
        </w:rPr>
      </w:pP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20</w:t>
      </w:r>
      <w:r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  <w:t>20</w:t>
      </w: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年部门决算</w:t>
      </w:r>
    </w:p>
    <w:p>
      <w:pPr>
        <w:pStyle w:val="6"/>
        <w:widowControl/>
        <w:spacing w:before="76" w:beforeAutospacing="0" w:after="76" w:afterAutospacing="0" w:line="450" w:lineRule="atLeast"/>
        <w:ind w:firstLine="420"/>
        <w:rPr>
          <w:color w:val="333333"/>
        </w:rPr>
      </w:pP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第一部分 部门概况</w:t>
      </w:r>
    </w:p>
    <w:p>
      <w:pPr>
        <w:spacing w:line="620" w:lineRule="exact"/>
        <w:ind w:firstLine="640"/>
        <w:rPr>
          <w:rStyle w:val="10"/>
          <w:rFonts w:asciiTheme="minorEastAsia" w:hAnsiTheme="minorEastAsia" w:cstheme="minorEastAsia"/>
          <w:sz w:val="28"/>
          <w:szCs w:val="28"/>
        </w:rPr>
      </w:pPr>
      <w:r>
        <w:rPr>
          <w:rStyle w:val="10"/>
          <w:rFonts w:hint="eastAsia" w:asciiTheme="minorEastAsia" w:hAnsiTheme="minorEastAsia" w:cstheme="minorEastAsia"/>
          <w:sz w:val="28"/>
          <w:szCs w:val="28"/>
        </w:rPr>
        <w:t>（一）主要职能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配合各级人民政府依法动员、组织适龄儿童少年入学，推进普及义务教育。宣传贯彻执行党和国家的教育方针、政策、法律法规等，坚持依法治教、依，贯彻执行区教育局的行政规章制度。组织开展本校的教育教学科研和教育教学改革，科研兴教，科研兴校。</w:t>
      </w:r>
    </w:p>
    <w:p>
      <w:pPr>
        <w:widowControl/>
        <w:shd w:val="clear" w:color="auto" w:fill="FFFFFF"/>
        <w:snapToGrid w:val="0"/>
        <w:spacing w:line="560" w:lineRule="atLeas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（二）机构情况</w:t>
      </w:r>
    </w:p>
    <w:p>
      <w:pPr>
        <w:ind w:firstLine="719" w:firstLineChars="257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石市广场路小学是参照公务员法管理全额拨款事业单位，执行事业单位会计制度，上级主管部门为黄石港区教育局，隶属于黄石港区财政局，财务制度执行的是事业单位会计制度，单位机构数1个，参加照公务员法管理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spacing w:line="560" w:lineRule="atLeast"/>
        <w:ind w:firstLine="420" w:firstLineChars="15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人员情况</w:t>
      </w:r>
    </w:p>
    <w:p>
      <w:pPr>
        <w:ind w:firstLine="719" w:firstLineChars="257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在职教职工年初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141人，退休2人，去世1人，新进3人，年末14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人。52个教学班，学生人数2960人</w:t>
      </w:r>
    </w:p>
    <w:p>
      <w:pPr>
        <w:widowControl/>
        <w:shd w:val="clear" w:color="auto" w:fill="FFFFFF"/>
        <w:snapToGrid w:val="0"/>
        <w:spacing w:line="560" w:lineRule="atLeast"/>
        <w:ind w:firstLine="601"/>
        <w:jc w:val="left"/>
        <w:rPr>
          <w:rFonts w:asciiTheme="minorEastAsia" w:hAnsiTheme="minorEastAsia" w:cstheme="minorEastAsia"/>
          <w:kern w:val="0"/>
          <w:sz w:val="30"/>
          <w:szCs w:val="30"/>
        </w:rPr>
      </w:pPr>
    </w:p>
    <w:p>
      <w:pPr>
        <w:pStyle w:val="6"/>
        <w:widowControl/>
        <w:numPr>
          <w:ilvl w:val="0"/>
          <w:numId w:val="2"/>
        </w:numPr>
        <w:spacing w:before="76" w:beforeAutospacing="0" w:after="76" w:afterAutospacing="0" w:line="450" w:lineRule="atLeast"/>
        <w:ind w:firstLine="420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部门2020年部门决算表</w:t>
      </w:r>
    </w:p>
    <w:p>
      <w:pPr>
        <w:jc w:val="center"/>
      </w:pPr>
      <w:r>
        <w:drawing>
          <wp:inline distT="0" distB="0" distL="0" distR="0">
            <wp:extent cx="8411210" cy="6061710"/>
            <wp:effectExtent l="19050" t="0" r="8306" b="0"/>
            <wp:docPr id="3" name="图片 2" descr="D:\Documents\Tencent Files\1420870980\FileRecv\MobileFile\Image\64EK9RG~4N50T7E6}HK)(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Documents\Tencent Files\1420870980\FileRecv\MobileFile\Image\64EK9RG~4N50T7E6}HK)(2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6312" cy="606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8863330" cy="1959610"/>
            <wp:effectExtent l="19050" t="0" r="0" b="0"/>
            <wp:docPr id="6" name="图片 3" descr="D:\Documents\Tencent Files\1420870980\FileRecv\MobileFile\Image\P54R[ZD2~P2090I8(]A$4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D:\Documents\Tencent Files\1420870980\FileRecv\MobileFile\Image\P54R[ZD2~P2090I8(]A$4C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5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8863330" cy="2177415"/>
            <wp:effectExtent l="19050" t="0" r="0" b="0"/>
            <wp:docPr id="9" name="图片 4" descr="D:\Documents\Tencent Files\1420870980\FileRecv\MobileFile\Image\75ZWEJ_{{JAI[DC%0TD[I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D:\Documents\Tencent Files\1420870980\FileRecv\MobileFile\Image\75ZWEJ_{{JAI[DC%0TD[IH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7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8863330" cy="6797040"/>
            <wp:effectExtent l="19050" t="0" r="0" b="0"/>
            <wp:docPr id="12" name="图片 5" descr="D:\Documents\Tencent Files\1420870980\FileRecv\MobileFile\Image\KI)7QOUE[J2IUPY7C{)3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D:\Documents\Tencent Files\1420870980\FileRecv\MobileFile\Image\KI)7QOUE[J2IUPY7C{)3P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79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0" distR="0">
            <wp:extent cx="7487285" cy="2480945"/>
            <wp:effectExtent l="19050" t="0" r="0" b="0"/>
            <wp:docPr id="13" name="图片 6" descr="D:\Documents\Tencent Files\1420870980\FileRecv\MobileFile\Image\11O7E0GD4PA)W4(64)U(M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D:\Documents\Tencent Files\1420870980\FileRecv\MobileFile\Image\11O7E0GD4PA)W4(64)U(M3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7285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8863330" cy="5750560"/>
            <wp:effectExtent l="19050" t="0" r="0" b="0"/>
            <wp:docPr id="14" name="图片 7" descr="D:\Documents\Tencent Files\1420870980\FileRecv\MobileFile\Image\JGQ_UBEV${VHT%L]0E)}P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D:\Documents\Tencent Files\1420870980\FileRecv\MobileFile\Image\JGQ_UBEV${VHT%L]0E)}P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5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0" distR="0">
            <wp:extent cx="8863330" cy="1936115"/>
            <wp:effectExtent l="19050" t="0" r="0" b="0"/>
            <wp:docPr id="15" name="图片 8" descr="D:\Documents\Tencent Files\1420870980\FileRecv\MobileFile\Image\TJ[82~93HJ}Y[(JO@JBA3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D:\Documents\Tencent Files\1420870980\FileRecv\MobileFile\Image\TJ[82~93HJ}Y[(JO@JBA3AQ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3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/>
    <w:p/>
    <w:p/>
    <w:tbl>
      <w:tblPr>
        <w:tblStyle w:val="9"/>
        <w:tblpPr w:leftFromText="180" w:rightFromText="180" w:vertAnchor="text" w:horzAnchor="page" w:tblpX="1423" w:tblpY="231"/>
        <w:tblOverlap w:val="never"/>
        <w:tblW w:w="138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0"/>
        <w:gridCol w:w="1329"/>
        <w:gridCol w:w="843"/>
        <w:gridCol w:w="843"/>
        <w:gridCol w:w="843"/>
        <w:gridCol w:w="843"/>
        <w:gridCol w:w="843"/>
        <w:gridCol w:w="403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公开08表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黄石市广场路小学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40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4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5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5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4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1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注：本表反映部门本年度政府性基金预算财政拨款收入、支出及结转和结余情况。</w:t>
            </w:r>
          </w:p>
        </w:tc>
      </w:tr>
    </w:tbl>
    <w:p/>
    <w:p/>
    <w:p/>
    <w:p/>
    <w:p>
      <w:pPr>
        <w:pStyle w:val="6"/>
        <w:widowControl/>
        <w:numPr>
          <w:ilvl w:val="0"/>
          <w:numId w:val="2"/>
        </w:numPr>
        <w:spacing w:before="76" w:beforeAutospacing="0" w:after="76" w:afterAutospacing="0" w:line="450" w:lineRule="atLeast"/>
        <w:ind w:firstLine="420"/>
        <w:rPr>
          <w:rStyle w:val="8"/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Style w:val="8"/>
          <w:rFonts w:hint="eastAsia" w:ascii="微软雅黑" w:hAnsi="微软雅黑" w:eastAsia="微软雅黑" w:cs="微软雅黑"/>
          <w:color w:val="333333"/>
          <w:shd w:val="clear" w:color="auto" w:fill="FFFFFF"/>
        </w:rPr>
        <w:t>2020年部门决算情况说明</w:t>
      </w:r>
    </w:p>
    <w:p>
      <w:pPr>
        <w:pStyle w:val="6"/>
        <w:widowControl/>
        <w:spacing w:before="76" w:beforeAutospacing="0" w:after="76" w:afterAutospacing="0" w:line="450" w:lineRule="atLeast"/>
        <w:ind w:left="420"/>
        <w:rPr>
          <w:rFonts w:ascii="微软雅黑" w:hAnsi="微软雅黑" w:eastAsia="微软雅黑" w:cs="微软雅黑"/>
          <w:b/>
          <w:bCs/>
          <w:color w:val="333333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shd w:val="clear" w:color="auto" w:fill="FFFFFF"/>
        </w:rPr>
        <w:t>（一）预算执行情况分析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2020年度财政收入预算数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2384.49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万元，公用经费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390.20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年度财政支出预算数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2384.49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万元，公用经费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390.20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万元。201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年度财政收入预算数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2153.32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1818.02</w:t>
      </w:r>
      <w:r>
        <w:rPr>
          <w:rFonts w:hint="eastAsia" w:asciiTheme="minorEastAsia" w:hAnsiTheme="minorEastAsia" w:cstheme="minorEastAsia"/>
          <w:sz w:val="28"/>
          <w:szCs w:val="28"/>
        </w:rPr>
        <w:t>万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元，公用经费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335.3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万元；201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年度财政支出预算数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2153.32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万元，其中人员经费1688.37</w:t>
      </w:r>
      <w:r>
        <w:rPr>
          <w:rFonts w:hint="eastAsia" w:asciiTheme="minorEastAsia" w:hAnsiTheme="minorEastAsia" w:cstheme="minorEastAsia"/>
          <w:sz w:val="28"/>
          <w:szCs w:val="28"/>
        </w:rPr>
        <w:t>万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元，公用经费3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87.11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万元。20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收入预算数比上年增加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621.37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万元，20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支出预算数比上年增加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621.37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 xml:space="preserve">     万元。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1、收入与预算对比分析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年全年总收入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万元。其中财政决算收入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万元，其他收入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318.88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年全年决算总支出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万元，其中财政决算支出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万元，其他资金支出0万元。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年度财政收入预算数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万元，财拔决算比预算多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318.88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万元，增幅11%，原因为政府为改善教学环境，加大对教育教学设施的投入。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2、收入结构分析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年全年总收入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万元。其中财政决算收入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万元，其他收入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318.88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年全年决算总支出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万元，其中财政决算支出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万元，其他资金支出0万元。支出按以下分类说明</w:t>
      </w:r>
    </w:p>
    <w:p>
      <w:pPr>
        <w:pStyle w:val="6"/>
        <w:widowControl/>
        <w:numPr>
          <w:ilvl w:val="0"/>
          <w:numId w:val="3"/>
        </w:numPr>
        <w:spacing w:beforeAutospacing="0" w:afterAutospacing="0"/>
        <w:ind w:left="563" w:leftChars="268" w:firstLine="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出功能分类：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万元，教育教学支出及其他相关支出。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②支出性质分类：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万元，其中人员经费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2384.49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万元；公用经费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390.20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③支出经济分类：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万元。其中工资福利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2333.61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万元；商品服务支出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361.36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万元；对个人和家庭的补助支出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50.88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万元；其它资本性支出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28.83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（二）关于“三公”经费支出说明</w:t>
      </w:r>
    </w:p>
    <w:p>
      <w:pPr>
        <w:widowControl/>
        <w:shd w:val="clear" w:color="auto" w:fill="FFFFFF"/>
        <w:snapToGrid w:val="0"/>
        <w:spacing w:line="560" w:lineRule="atLeast"/>
        <w:ind w:firstLine="562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本年度三公经费中，本年无公务接等费，无出国费用支出，无车辆费用支出。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（三）关于机关运行经费支出说明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2020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年度机关运行经费支出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3093.57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万元，比年初预算数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2774.69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万元增加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318.88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万元，增长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11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%。主要原因是：公用经费上涨，实际支出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628.21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万元；预算数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124.64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万元；涨幅原因为政府为改善教学环境，加大对教育教学设施的投入。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（四）关于政府采购支出说明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本年无政府采购支出。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（五）关于国有资产占用情况说明</w:t>
      </w:r>
    </w:p>
    <w:p>
      <w:pPr>
        <w:pStyle w:val="6"/>
        <w:widowControl/>
        <w:spacing w:beforeAutospacing="0" w:afterAutospacing="0"/>
        <w:ind w:firstLine="56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本单位无公车和大型设备。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（六）重点绩效评价结果等预算绩效情况说明</w:t>
      </w:r>
    </w:p>
    <w:p>
      <w:pPr>
        <w:pStyle w:val="12"/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2020年， 根据预算绩效管理要求，我单位组织2020年度一般公共预算项目支出全面开展绩效自评，共涉及项目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个，资金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158.19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万元。 2020年项目资金投入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158.19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万元，已使用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131.6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万元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，使用率达83.19%。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使用从评价结果看，项目立项程序完整、规范，预算执行及时、有效，绩效目标得到较好实现，绩效管理水平不断提高，绩效指标体系建设逐渐丰富和完善。</w:t>
      </w:r>
    </w:p>
    <w:p>
      <w:pPr>
        <w:spacing w:line="440" w:lineRule="exact"/>
        <w:ind w:firstLine="570" w:firstLineChars="200"/>
        <w:rPr>
          <w:rFonts w:hint="eastAsia" w:ascii="宋体" w:hAnsi="宋体"/>
          <w:b/>
          <w:color w:val="FF6600"/>
          <w:spacing w:val="2"/>
          <w:sz w:val="28"/>
          <w:szCs w:val="28"/>
        </w:rPr>
      </w:pPr>
      <w:r>
        <w:rPr>
          <w:rFonts w:hint="eastAsia" w:ascii="宋体" w:hAnsi="宋体"/>
          <w:b/>
          <w:spacing w:val="2"/>
          <w:sz w:val="28"/>
          <w:szCs w:val="28"/>
          <w:lang w:val="en-US" w:eastAsia="zh-CN"/>
        </w:rPr>
        <w:t>（七）</w:t>
      </w:r>
      <w:r>
        <w:rPr>
          <w:rFonts w:hint="eastAsia" w:ascii="宋体" w:hAnsi="宋体"/>
          <w:b/>
          <w:spacing w:val="2"/>
          <w:sz w:val="28"/>
          <w:szCs w:val="28"/>
        </w:rPr>
        <w:t>决算收支增减变化情况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1、收入增减变化情况</w:t>
      </w:r>
    </w:p>
    <w:p>
      <w:pPr>
        <w:widowControl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2019年全年总收入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2382.64万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元,2020年全年总收入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3093.57万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元，同比上年增加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710.93万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元，原因是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人员绩效工资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增加。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2、支出增减变化情况</w:t>
      </w:r>
    </w:p>
    <w:p>
      <w:pPr>
        <w:widowControl/>
        <w:ind w:firstLine="560" w:firstLineChars="20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2019年全年总支出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2382.64万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元,2020年全年总支出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3093.57万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元，同比上年增加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710.93万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元，原因是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人员绩效工资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 w:bidi="ar"/>
        </w:rPr>
        <w:t>增加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 w:bidi="ar"/>
        </w:rPr>
        <w:t>。</w:t>
      </w:r>
      <w:bookmarkStart w:id="0" w:name="_GoBack"/>
      <w:bookmarkEnd w:id="0"/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pStyle w:val="6"/>
        <w:widowControl/>
        <w:spacing w:beforeAutospacing="0" w:afterAutospacing="0"/>
        <w:ind w:firstLine="560"/>
        <w:rPr>
          <w:rFonts w:ascii="微软雅黑" w:hAnsi="微软雅黑" w:eastAsia="微软雅黑" w:cs="微软雅黑"/>
          <w:b/>
          <w:bCs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hd w:val="clear" w:color="auto" w:fill="FFFFFF"/>
        </w:rPr>
        <w:t>第四部分 名词解释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一、财政补助收入：指县级财政当年拨付的资金。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二、其他收入：指除“财政拨款收入”以外的收入。主要是各级教育主管部门拨款等。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三、年初结转和结余：指以前年度尚未完成、结转到本年按有关规定继续使用的资金。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四、一般公共服务（类）行政运行（项）：无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五、一般公共服务（类）一般行政管理事务（项）：无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六、一般公共服务（类）机关服务（项）：无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七、一般公共服务（类）其他一般公共服务支出（款）其他一般公共服务支出（项）：用于其他一般公共服务方面的支出。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八、教育（类）普通教育（款）高等教育（项）：无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九、社会保障和就业(类)行政事业单位离退休（款）归口管理的行政单位离退休（项）：无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十、社会保障和就业(类)行政事业单位离退休（款）其他行政事业单位离退休支出（项）：无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十一、医疗卫生与计划生育（类）医疗保障（款）行政单位医疗（项）：无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十二、住房保障（类）住房改革支出（款）购房补贴（项）：无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十三、年末结转和结余：指本年度或以前年度预算安排、因客观条件发生变化无法按原计划实施，需要延迟到以后年度按有关规定继续使用的资金。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十四、基本支出：指为保障机构正常运转、完成日常工作任务而发生的人员支出（包括基本工资、津贴补贴等）和公用支出（包括办公费、水电费、邮电费、交通费、差旅费等）。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十五、项目支出：无。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十六、“三公”经费：是指用财政拨款安排的因公出国（境）费、公务用车购置及运行维护费、公务接待费。</w:t>
      </w:r>
    </w:p>
    <w:p>
      <w:pPr>
        <w:pStyle w:val="6"/>
        <w:widowControl/>
        <w:spacing w:beforeAutospacing="0" w:afterAutospacing="0"/>
        <w:ind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sectPr>
      <w:pgSz w:w="16838" w:h="11906" w:orient="landscape"/>
      <w:pgMar w:top="1020" w:right="1440" w:bottom="56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875F9"/>
    <w:multiLevelType w:val="singleLevel"/>
    <w:tmpl w:val="8AA875F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A4D6B93"/>
    <w:multiLevelType w:val="singleLevel"/>
    <w:tmpl w:val="AA4D6B9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3C562F4"/>
    <w:multiLevelType w:val="multilevel"/>
    <w:tmpl w:val="23C562F4"/>
    <w:lvl w:ilvl="0" w:tentative="0">
      <w:start w:val="1"/>
      <w:numFmt w:val="decimalEnclosedCircle"/>
      <w:lvlText w:val="%1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1B32"/>
    <w:rsid w:val="000079F7"/>
    <w:rsid w:val="00133728"/>
    <w:rsid w:val="00213443"/>
    <w:rsid w:val="00310C87"/>
    <w:rsid w:val="00363F73"/>
    <w:rsid w:val="00484BB3"/>
    <w:rsid w:val="00502AB0"/>
    <w:rsid w:val="0051114D"/>
    <w:rsid w:val="005A31C2"/>
    <w:rsid w:val="006E1FE1"/>
    <w:rsid w:val="00721D14"/>
    <w:rsid w:val="00812E7F"/>
    <w:rsid w:val="00A247F4"/>
    <w:rsid w:val="00B033A5"/>
    <w:rsid w:val="00C27B59"/>
    <w:rsid w:val="00D070D7"/>
    <w:rsid w:val="00D61CEB"/>
    <w:rsid w:val="00E26C7B"/>
    <w:rsid w:val="00F56047"/>
    <w:rsid w:val="00FB72FF"/>
    <w:rsid w:val="00FC53CC"/>
    <w:rsid w:val="1BC80A56"/>
    <w:rsid w:val="1CE10904"/>
    <w:rsid w:val="1F376B77"/>
    <w:rsid w:val="20425963"/>
    <w:rsid w:val="27275A20"/>
    <w:rsid w:val="27D57133"/>
    <w:rsid w:val="28385A6F"/>
    <w:rsid w:val="2ED40676"/>
    <w:rsid w:val="2FAC5D77"/>
    <w:rsid w:val="30920D9D"/>
    <w:rsid w:val="35687F4F"/>
    <w:rsid w:val="35A91B32"/>
    <w:rsid w:val="37333E90"/>
    <w:rsid w:val="421106AE"/>
    <w:rsid w:val="43431E0B"/>
    <w:rsid w:val="48627F64"/>
    <w:rsid w:val="4D7C648F"/>
    <w:rsid w:val="4DD015B7"/>
    <w:rsid w:val="4F996BA0"/>
    <w:rsid w:val="53481754"/>
    <w:rsid w:val="55A925D9"/>
    <w:rsid w:val="571A201F"/>
    <w:rsid w:val="5CF6057B"/>
    <w:rsid w:val="649C7F93"/>
    <w:rsid w:val="67F668F1"/>
    <w:rsid w:val="6A487A0A"/>
    <w:rsid w:val="6DAC74F7"/>
    <w:rsid w:val="70884955"/>
    <w:rsid w:val="71183968"/>
    <w:rsid w:val="757E759E"/>
    <w:rsid w:val="76F76D0B"/>
    <w:rsid w:val="77A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ca-2"/>
    <w:basedOn w:val="7"/>
    <w:qFormat/>
    <w:uiPriority w:val="0"/>
  </w:style>
  <w:style w:type="character" w:customStyle="1" w:styleId="11">
    <w:name w:val="ca-3"/>
    <w:basedOn w:val="7"/>
    <w:qFormat/>
    <w:uiPriority w:val="0"/>
  </w:style>
  <w:style w:type="paragraph" w:customStyle="1" w:styleId="12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3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2021-09-13T07:14:00Z</dcterms:created>
  <dc:creator>米</dc:creator>
  <cp:lastModifiedBy>Administrator</cp:lastModifiedBy>
  <cp:lastPrinted>2021-09-13T07:20:00Z</cp:lastPrinted>
  <dcterms:modified xsi:type="dcterms:W3CDTF">2021-09-14T10:01:57Z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