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0"/>
        <w:jc w:val="center"/>
        <w:rPr>
          <w:rFonts w:ascii="微软雅黑" w:hAnsi="微软雅黑" w:eastAsia="微软雅黑" w:cs="微软雅黑"/>
          <w:b/>
          <w:i w:val="0"/>
          <w:caps w:val="0"/>
          <w:color w:val="BC1010"/>
          <w:spacing w:val="0"/>
          <w:sz w:val="40"/>
          <w:szCs w:val="40"/>
        </w:rPr>
      </w:pPr>
      <w:r>
        <w:rPr>
          <w:rFonts w:hint="eastAsia" w:ascii="微软雅黑" w:hAnsi="微软雅黑" w:eastAsia="微软雅黑" w:cs="微软雅黑"/>
          <w:b/>
          <w:i w:val="0"/>
          <w:caps w:val="0"/>
          <w:color w:val="BC1010"/>
          <w:spacing w:val="0"/>
          <w:sz w:val="40"/>
          <w:szCs w:val="40"/>
          <w:shd w:val="clear" w:fill="FFFFFF"/>
          <w:lang w:eastAsia="zh-CN"/>
        </w:rPr>
        <w:t>教育局20</w:t>
      </w:r>
      <w:r>
        <w:rPr>
          <w:rFonts w:hint="eastAsia" w:ascii="微软雅黑" w:hAnsi="微软雅黑" w:eastAsia="微软雅黑" w:cs="微软雅黑"/>
          <w:b/>
          <w:i w:val="0"/>
          <w:caps w:val="0"/>
          <w:color w:val="BC1010"/>
          <w:spacing w:val="0"/>
          <w:sz w:val="40"/>
          <w:szCs w:val="40"/>
          <w:shd w:val="clear" w:fill="FFFFFF"/>
          <w:lang w:val="en-US" w:eastAsia="zh-CN"/>
        </w:rPr>
        <w:t>20</w:t>
      </w:r>
      <w:r>
        <w:rPr>
          <w:rFonts w:hint="eastAsia" w:ascii="微软雅黑" w:hAnsi="微软雅黑" w:eastAsia="微软雅黑" w:cs="微软雅黑"/>
          <w:b/>
          <w:i w:val="0"/>
          <w:caps w:val="0"/>
          <w:color w:val="BC1010"/>
          <w:spacing w:val="0"/>
          <w:sz w:val="40"/>
          <w:szCs w:val="40"/>
          <w:shd w:val="clear" w:fill="FFFFFF"/>
          <w:lang w:eastAsia="zh-CN"/>
        </w:rPr>
        <w:t>年</w:t>
      </w:r>
      <w:r>
        <w:rPr>
          <w:rFonts w:hint="eastAsia" w:ascii="微软雅黑" w:hAnsi="微软雅黑" w:eastAsia="微软雅黑" w:cs="微软雅黑"/>
          <w:b/>
          <w:i w:val="0"/>
          <w:caps w:val="0"/>
          <w:color w:val="BC1010"/>
          <w:spacing w:val="0"/>
          <w:sz w:val="40"/>
          <w:szCs w:val="40"/>
          <w:shd w:val="clear" w:fill="FFFFFF"/>
        </w:rPr>
        <w:t>决算公开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7"/>
          <w:rFonts w:hint="eastAsia" w:ascii="微软雅黑" w:hAnsi="微软雅黑" w:eastAsia="微软雅黑" w:cs="微软雅黑"/>
          <w:i w:val="0"/>
          <w:caps w:val="0"/>
          <w:color w:val="333333"/>
          <w:spacing w:val="0"/>
          <w:sz w:val="24"/>
          <w:szCs w:val="24"/>
          <w:shd w:val="clear" w:fill="FFFFFF"/>
          <w:lang w:eastAsia="zh-CN"/>
        </w:rPr>
        <w:t>黄石港区教育局2020年</w:t>
      </w:r>
      <w:r>
        <w:rPr>
          <w:rStyle w:val="7"/>
          <w:rFonts w:hint="eastAsia" w:ascii="微软雅黑" w:hAnsi="微软雅黑" w:eastAsia="微软雅黑" w:cs="微软雅黑"/>
          <w:i w:val="0"/>
          <w:caps w:val="0"/>
          <w:color w:val="333333"/>
          <w:spacing w:val="0"/>
          <w:sz w:val="24"/>
          <w:szCs w:val="24"/>
          <w:shd w:val="clear" w:fill="FFFFFF"/>
        </w:rPr>
        <w:t>决算公开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目  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第一部分:部门基本情况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一、部门主要职责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二、部门决算单位构成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第二部分: 部门</w:t>
      </w:r>
      <w:r>
        <w:rPr>
          <w:rFonts w:hint="eastAsia" w:ascii="微软雅黑" w:hAnsi="微软雅黑" w:eastAsia="微软雅黑" w:cs="微软雅黑"/>
          <w:b w:val="0"/>
          <w:i w:val="0"/>
          <w:caps w:val="0"/>
          <w:color w:val="333333"/>
          <w:spacing w:val="0"/>
          <w:sz w:val="24"/>
          <w:szCs w:val="24"/>
          <w:shd w:val="clear" w:fill="FFFFFF"/>
          <w:lang w:eastAsia="zh-CN"/>
        </w:rPr>
        <w:t>2020年</w:t>
      </w:r>
      <w:r>
        <w:rPr>
          <w:rFonts w:hint="eastAsia" w:ascii="微软雅黑" w:hAnsi="微软雅黑" w:eastAsia="微软雅黑" w:cs="微软雅黑"/>
          <w:b w:val="0"/>
          <w:i w:val="0"/>
          <w:caps w:val="0"/>
          <w:color w:val="333333"/>
          <w:spacing w:val="0"/>
          <w:sz w:val="24"/>
          <w:szCs w:val="24"/>
          <w:shd w:val="clear" w:fill="FFFFFF"/>
        </w:rPr>
        <w:t>部门决算表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一、收入支出决算总表（表1）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二、收入决算表（表2）</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三、支出决算表（表3）</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四、财政拨款收入支出决算总表（表4）</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五、一般公共预算财政拨款支出决算表（表5）</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六、一般公共预算财政拨款基本支出决算表（表6）</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rPr>
        <w:t>七、一般公共预算财政拨款“三公”经费支出决算表（表7）</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val="en-US" w:eastAsia="zh-CN"/>
        </w:rPr>
        <w:t>八、政府性基金预算财政拨款收入支出决算表（表8）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第三部分：部门</w:t>
      </w:r>
      <w:r>
        <w:rPr>
          <w:rFonts w:hint="eastAsia" w:ascii="微软雅黑" w:hAnsi="微软雅黑" w:eastAsia="微软雅黑" w:cs="微软雅黑"/>
          <w:b w:val="0"/>
          <w:i w:val="0"/>
          <w:caps w:val="0"/>
          <w:color w:val="333333"/>
          <w:spacing w:val="0"/>
          <w:sz w:val="24"/>
          <w:szCs w:val="24"/>
          <w:shd w:val="clear" w:fill="FFFFFF"/>
          <w:lang w:eastAsia="zh-CN"/>
        </w:rPr>
        <w:t>2020年</w:t>
      </w:r>
      <w:r>
        <w:rPr>
          <w:rFonts w:hint="eastAsia" w:ascii="微软雅黑" w:hAnsi="微软雅黑" w:eastAsia="微软雅黑" w:cs="微软雅黑"/>
          <w:b w:val="0"/>
          <w:i w:val="0"/>
          <w:caps w:val="0"/>
          <w:color w:val="333333"/>
          <w:spacing w:val="0"/>
          <w:sz w:val="24"/>
          <w:szCs w:val="24"/>
          <w:shd w:val="clear" w:fill="FFFFFF"/>
        </w:rPr>
        <w:t>部门决算情况说明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eastAsia="zh-CN"/>
        </w:rPr>
        <w:t>一、</w:t>
      </w:r>
      <w:r>
        <w:rPr>
          <w:rFonts w:hint="eastAsia" w:ascii="微软雅黑" w:hAnsi="微软雅黑" w:eastAsia="微软雅黑" w:cs="微软雅黑"/>
          <w:b w:val="0"/>
          <w:i w:val="0"/>
          <w:caps w:val="0"/>
          <w:color w:val="333333"/>
          <w:spacing w:val="0"/>
          <w:sz w:val="24"/>
          <w:szCs w:val="24"/>
          <w:shd w:val="clear" w:fill="FFFFFF"/>
        </w:rPr>
        <w:t>预算执行情况分析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eastAsia="zh-CN"/>
        </w:rPr>
        <w:t>二、</w:t>
      </w:r>
      <w:r>
        <w:rPr>
          <w:rFonts w:hint="eastAsia" w:ascii="微软雅黑" w:hAnsi="微软雅黑" w:eastAsia="微软雅黑" w:cs="微软雅黑"/>
          <w:b w:val="0"/>
          <w:i w:val="0"/>
          <w:caps w:val="0"/>
          <w:color w:val="333333"/>
          <w:spacing w:val="0"/>
          <w:sz w:val="24"/>
          <w:szCs w:val="24"/>
          <w:shd w:val="clear" w:fill="FFFFFF"/>
        </w:rPr>
        <w:t>关于“三公”经费支出说明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eastAsia="zh-CN"/>
        </w:rPr>
        <w:t>三、</w:t>
      </w:r>
      <w:r>
        <w:rPr>
          <w:rFonts w:hint="eastAsia" w:ascii="微软雅黑" w:hAnsi="微软雅黑" w:eastAsia="微软雅黑" w:cs="微软雅黑"/>
          <w:b w:val="0"/>
          <w:i w:val="0"/>
          <w:caps w:val="0"/>
          <w:color w:val="333333"/>
          <w:spacing w:val="0"/>
          <w:sz w:val="24"/>
          <w:szCs w:val="24"/>
          <w:shd w:val="clear" w:fill="FFFFFF"/>
        </w:rPr>
        <w:t>关于机关运行经费支出说明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rPr>
        <w:t>四</w:t>
      </w:r>
      <w:r>
        <w:rPr>
          <w:rFonts w:hint="eastAsia" w:ascii="微软雅黑" w:hAnsi="微软雅黑" w:eastAsia="微软雅黑" w:cs="微软雅黑"/>
          <w:b w:val="0"/>
          <w:i w:val="0"/>
          <w:caps w:val="0"/>
          <w:color w:val="333333"/>
          <w:spacing w:val="0"/>
          <w:sz w:val="24"/>
          <w:szCs w:val="24"/>
          <w:shd w:val="clear" w:fill="FFFFFF"/>
          <w:lang w:eastAsia="zh-CN"/>
        </w:rPr>
        <w:t>、</w:t>
      </w:r>
      <w:r>
        <w:rPr>
          <w:rFonts w:hint="eastAsia" w:ascii="微软雅黑" w:hAnsi="微软雅黑" w:eastAsia="微软雅黑" w:cs="微软雅黑"/>
          <w:b w:val="0"/>
          <w:i w:val="0"/>
          <w:caps w:val="0"/>
          <w:color w:val="333333"/>
          <w:spacing w:val="0"/>
          <w:sz w:val="24"/>
          <w:szCs w:val="24"/>
          <w:shd w:val="clear" w:fill="FFFFFF"/>
        </w:rPr>
        <w:t>关于政府采购支出说明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rPr>
        <w:t>五</w:t>
      </w:r>
      <w:r>
        <w:rPr>
          <w:rFonts w:hint="eastAsia" w:ascii="微软雅黑" w:hAnsi="微软雅黑" w:eastAsia="微软雅黑" w:cs="微软雅黑"/>
          <w:b w:val="0"/>
          <w:i w:val="0"/>
          <w:caps w:val="0"/>
          <w:color w:val="333333"/>
          <w:spacing w:val="0"/>
          <w:sz w:val="24"/>
          <w:szCs w:val="24"/>
          <w:shd w:val="clear" w:fill="FFFFFF"/>
          <w:lang w:eastAsia="zh-CN"/>
        </w:rPr>
        <w:t>、</w:t>
      </w:r>
      <w:r>
        <w:rPr>
          <w:rFonts w:hint="eastAsia" w:ascii="微软雅黑" w:hAnsi="微软雅黑" w:eastAsia="微软雅黑" w:cs="微软雅黑"/>
          <w:b w:val="0"/>
          <w:i w:val="0"/>
          <w:caps w:val="0"/>
          <w:color w:val="333333"/>
          <w:spacing w:val="0"/>
          <w:sz w:val="24"/>
          <w:szCs w:val="24"/>
          <w:shd w:val="clear" w:fill="FFFFFF"/>
        </w:rPr>
        <w:t>关于国有资产占用情况说明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六、重点绩效评价结果等预算绩效情况说明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b w:val="0"/>
          <w:i w:val="0"/>
          <w:caps w:val="0"/>
          <w:color w:val="333333"/>
          <w:spacing w:val="0"/>
          <w:sz w:val="24"/>
          <w:szCs w:val="24"/>
          <w:shd w:val="clear" w:fill="FFFFFF"/>
          <w:lang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七</w:t>
      </w:r>
      <w:r>
        <w:rPr>
          <w:rFonts w:hint="eastAsia" w:ascii="微软雅黑" w:hAnsi="微软雅黑" w:eastAsia="微软雅黑" w:cs="微软雅黑"/>
          <w:b w:val="0"/>
          <w:i w:val="0"/>
          <w:caps w:val="0"/>
          <w:color w:val="333333"/>
          <w:spacing w:val="0"/>
          <w:sz w:val="24"/>
          <w:szCs w:val="24"/>
          <w:shd w:val="clear" w:fill="FFFFFF"/>
          <w:lang w:eastAsia="zh-CN"/>
        </w:rPr>
        <w:t>、决算收支增减变化情况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第四部分：名词解释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rStyle w:val="7"/>
          <w:rFonts w:hint="eastAsia" w:ascii="微软雅黑" w:hAnsi="微软雅黑" w:eastAsia="微软雅黑" w:cs="微软雅黑"/>
          <w:i w:val="0"/>
          <w:caps w:val="0"/>
          <w:color w:val="333333"/>
          <w:spacing w:val="0"/>
          <w:sz w:val="24"/>
          <w:szCs w:val="24"/>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rStyle w:val="7"/>
          <w:rFonts w:hint="eastAsia" w:ascii="微软雅黑" w:hAnsi="微软雅黑" w:eastAsia="微软雅黑" w:cs="微软雅黑"/>
          <w:i w:val="0"/>
          <w:caps w:val="0"/>
          <w:color w:val="333333"/>
          <w:spacing w:val="0"/>
          <w:sz w:val="24"/>
          <w:szCs w:val="24"/>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7"/>
          <w:rFonts w:hint="eastAsia" w:ascii="微软雅黑" w:hAnsi="微软雅黑" w:eastAsia="微软雅黑" w:cs="微软雅黑"/>
          <w:i w:val="0"/>
          <w:caps w:val="0"/>
          <w:color w:val="333333"/>
          <w:spacing w:val="0"/>
          <w:sz w:val="24"/>
          <w:szCs w:val="24"/>
          <w:shd w:val="clear" w:fill="FFFFFF"/>
          <w:lang w:eastAsia="zh-CN"/>
        </w:rPr>
        <w:t>20</w:t>
      </w:r>
      <w:r>
        <w:rPr>
          <w:rStyle w:val="7"/>
          <w:rFonts w:hint="eastAsia" w:ascii="微软雅黑" w:hAnsi="微软雅黑" w:eastAsia="微软雅黑" w:cs="微软雅黑"/>
          <w:i w:val="0"/>
          <w:caps w:val="0"/>
          <w:color w:val="333333"/>
          <w:spacing w:val="0"/>
          <w:sz w:val="24"/>
          <w:szCs w:val="24"/>
          <w:shd w:val="clear" w:fill="FFFFFF"/>
          <w:lang w:val="en-US" w:eastAsia="zh-CN"/>
        </w:rPr>
        <w:t>20</w:t>
      </w:r>
      <w:r>
        <w:rPr>
          <w:rStyle w:val="7"/>
          <w:rFonts w:hint="eastAsia" w:ascii="微软雅黑" w:hAnsi="微软雅黑" w:eastAsia="微软雅黑" w:cs="微软雅黑"/>
          <w:i w:val="0"/>
          <w:caps w:val="0"/>
          <w:color w:val="333333"/>
          <w:spacing w:val="0"/>
          <w:sz w:val="24"/>
          <w:szCs w:val="24"/>
          <w:shd w:val="clear" w:fill="FFFFFF"/>
          <w:lang w:eastAsia="zh-CN"/>
        </w:rPr>
        <w:t>年</w:t>
      </w:r>
      <w:r>
        <w:rPr>
          <w:rStyle w:val="7"/>
          <w:rFonts w:hint="eastAsia" w:ascii="微软雅黑" w:hAnsi="微软雅黑" w:eastAsia="微软雅黑" w:cs="微软雅黑"/>
          <w:i w:val="0"/>
          <w:caps w:val="0"/>
          <w:color w:val="333333"/>
          <w:spacing w:val="0"/>
          <w:sz w:val="24"/>
          <w:szCs w:val="24"/>
          <w:shd w:val="clear" w:fill="FFFFFF"/>
        </w:rPr>
        <w:t>部门决算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Style w:val="7"/>
          <w:rFonts w:hint="eastAsia" w:ascii="微软雅黑" w:hAnsi="微软雅黑" w:eastAsia="微软雅黑" w:cs="微软雅黑"/>
          <w:i w:val="0"/>
          <w:caps w:val="0"/>
          <w:color w:val="333333"/>
          <w:spacing w:val="0"/>
          <w:sz w:val="24"/>
          <w:szCs w:val="24"/>
          <w:shd w:val="clear" w:fill="FFFFFF"/>
          <w:lang w:eastAsia="zh-CN"/>
        </w:rPr>
        <w:t>第一部分</w:t>
      </w:r>
      <w:r>
        <w:rPr>
          <w:rStyle w:val="7"/>
          <w:rFonts w:hint="eastAsia" w:ascii="微软雅黑" w:hAnsi="微软雅黑" w:eastAsia="微软雅黑" w:cs="微软雅黑"/>
          <w:i w:val="0"/>
          <w:caps w:val="0"/>
          <w:color w:val="333333"/>
          <w:spacing w:val="0"/>
          <w:sz w:val="24"/>
          <w:szCs w:val="24"/>
          <w:shd w:val="clear" w:fill="FFFFFF"/>
          <w:lang w:val="en-US" w:eastAsia="zh-CN"/>
        </w:rPr>
        <w:t xml:space="preserve"> </w:t>
      </w:r>
      <w:r>
        <w:rPr>
          <w:rStyle w:val="7"/>
          <w:rFonts w:hint="eastAsia" w:ascii="微软雅黑" w:hAnsi="微软雅黑" w:eastAsia="微软雅黑" w:cs="微软雅黑"/>
          <w:i w:val="0"/>
          <w:caps w:val="0"/>
          <w:color w:val="333333"/>
          <w:spacing w:val="0"/>
          <w:sz w:val="24"/>
          <w:szCs w:val="24"/>
          <w:shd w:val="clear" w:fill="FFFFFF"/>
        </w:rPr>
        <w:t>部门概况</w:t>
      </w:r>
    </w:p>
    <w:p>
      <w:pPr>
        <w:widowControl/>
        <w:shd w:val="clear" w:color="auto" w:fill="FFFFFF"/>
        <w:ind w:firstLine="480"/>
        <w:jc w:val="left"/>
        <w:rPr>
          <w:rFonts w:hint="eastAsia" w:ascii="宋体" w:hAnsi="宋体" w:cs="宋体"/>
          <w:sz w:val="28"/>
          <w:szCs w:val="28"/>
        </w:rPr>
      </w:pPr>
      <w:r>
        <w:rPr>
          <w:rFonts w:hint="eastAsia" w:ascii="宋体" w:hAnsi="宋体" w:cs="宋体"/>
          <w:sz w:val="28"/>
          <w:szCs w:val="28"/>
        </w:rPr>
        <w:t>（一）主要职责</w:t>
      </w:r>
    </w:p>
    <w:p>
      <w:pPr>
        <w:widowControl/>
        <w:shd w:val="clear" w:color="auto" w:fill="FFFFFF"/>
        <w:ind w:firstLine="560" w:firstLineChars="200"/>
        <w:jc w:val="left"/>
        <w:rPr>
          <w:rFonts w:hint="eastAsia" w:ascii="宋体" w:hAnsi="宋体" w:cs="宋体"/>
          <w:sz w:val="28"/>
          <w:szCs w:val="28"/>
          <w:lang w:val="en-US" w:eastAsia="zh-CN"/>
        </w:rPr>
      </w:pPr>
      <w:r>
        <w:rPr>
          <w:rFonts w:hint="eastAsia" w:ascii="宋体" w:hAnsi="宋体" w:cs="宋体"/>
          <w:sz w:val="28"/>
          <w:szCs w:val="28"/>
          <w:lang w:val="en-US" w:eastAsia="zh-CN"/>
        </w:rPr>
        <w:t>贯彻执行党和国家关于教育改革和发展的各项方针、政策、法律、法规；在区委领导下，负责区属学校党的工作、思想政治工作和稳定工作；管理中小学校后备干部队伍建设；组织指导、协调教育系统干部培训工作；指导协调全区学校的教育、教学改革工作；负责本部门教育经费的统筹管理；会同区财政局编制全区教育系统经费预决算；监督全区教育经费的筹措和使用；组织指导资助贫困家庭学生工作；负责指导学校基建维修工作；负责推进义务教育均衡发展和促进教育公平，负责义务教育的宏观指导与协调；管理指导普通中小学教育、幼儿教育，全面实施素质教育；督促检查全区学校的办学标准、教学基本要求、教学基本文件的落实情况；负责全区的教育督导工作；负责组织和指导对基础教育发展水平、质量的监测工作；承担教育督导的日常管理工作；协调管理社会力量举办的义务教育的业务工作；指导学校的思想政治教育工作、德育工作、体育卫生与艺术教育及国防教育工作；主管全区教师工作。组织实施初中及其以下学校教师资格证书制度；统筹规划学校教师和管理人员的队伍建设；承担中小学老师继续教育工作；指导全区教育系统人才队伍建设；做好全区中小学的设置、合并、撤销、变更的审报工作；负责辖区内幼儿园的审核工作；指导、协调全区中小学校后勤、校办产业和勤工俭学工作；负责全区教育信息统计、分析和发布；协调学校及周边治安综合治理工作；指导中小学校安全管理工作；民办初中、小学、幼儿园审批及教师资格认定职能；承办上级交办的其他事项。</w:t>
      </w:r>
    </w:p>
    <w:p>
      <w:pPr>
        <w:widowControl/>
        <w:shd w:val="clear" w:color="auto" w:fill="FFFFFF"/>
        <w:ind w:firstLine="480"/>
        <w:jc w:val="left"/>
        <w:rPr>
          <w:rFonts w:hint="eastAsia" w:ascii="宋体" w:hAnsi="宋体" w:cs="宋体"/>
          <w:sz w:val="28"/>
          <w:szCs w:val="28"/>
        </w:rPr>
      </w:pPr>
      <w:r>
        <w:rPr>
          <w:rFonts w:hint="eastAsia" w:ascii="宋体" w:hAnsi="宋体" w:cs="宋体"/>
          <w:sz w:val="28"/>
          <w:szCs w:val="28"/>
          <w:lang w:eastAsia="zh-CN"/>
        </w:rPr>
        <w:t>（二）</w:t>
      </w:r>
      <w:r>
        <w:rPr>
          <w:rFonts w:hint="eastAsia" w:ascii="宋体" w:hAnsi="宋体" w:cs="宋体"/>
          <w:sz w:val="28"/>
          <w:szCs w:val="28"/>
        </w:rPr>
        <w:t>单位基本信息(机构设置等)</w:t>
      </w:r>
    </w:p>
    <w:p>
      <w:pPr>
        <w:widowControl/>
        <w:shd w:val="clear" w:color="auto" w:fill="FFFFFF"/>
        <w:ind w:firstLine="480"/>
        <w:jc w:val="left"/>
        <w:rPr>
          <w:rFonts w:hint="eastAsia" w:ascii="宋体" w:hAnsi="宋体" w:cs="宋体"/>
          <w:sz w:val="28"/>
          <w:szCs w:val="28"/>
          <w:lang w:val="en-US" w:eastAsia="zh-CN"/>
        </w:rPr>
      </w:pPr>
      <w:r>
        <w:rPr>
          <w:rFonts w:hint="eastAsia" w:ascii="宋体" w:hAnsi="宋体" w:cs="宋体"/>
          <w:sz w:val="28"/>
          <w:szCs w:val="28"/>
          <w:lang w:eastAsia="zh-CN"/>
        </w:rPr>
        <w:t>区教育局内设</w:t>
      </w:r>
      <w:r>
        <w:rPr>
          <w:rFonts w:hint="eastAsia" w:ascii="宋体" w:hAnsi="宋体" w:cs="宋体"/>
          <w:sz w:val="28"/>
          <w:szCs w:val="28"/>
          <w:lang w:val="en-US" w:eastAsia="zh-CN"/>
        </w:rPr>
        <w:t>1个职能部门：区教育事业发展中心。黄石市第八中学、黄石市第十四中学、黄石市第十五中学、黄石市江北学校、黄石市市府路小学、黄石市广场路小学、黄石市武汉路小学、黄石市沈家营小学、黄石市中山小学、黄石市老虎头小学、黄石市楠竹林小学、黄石市武黄路小学、黄石市花湖小学等14所中小学为区教育局管理的全额拨款事业单位。</w:t>
      </w:r>
    </w:p>
    <w:p>
      <w:pPr>
        <w:widowControl/>
        <w:shd w:val="clear" w:color="auto" w:fill="FFFFFF"/>
        <w:ind w:firstLine="480"/>
        <w:jc w:val="left"/>
        <w:rPr>
          <w:rFonts w:hint="eastAsia" w:ascii="宋体" w:hAnsi="宋体" w:cs="宋体"/>
          <w:sz w:val="28"/>
          <w:szCs w:val="28"/>
          <w:lang w:val="en-US" w:eastAsia="zh-CN"/>
        </w:rPr>
      </w:pPr>
    </w:p>
    <w:p>
      <w:pPr>
        <w:widowControl/>
        <w:shd w:val="clear" w:color="auto" w:fill="FFFFFF"/>
        <w:ind w:firstLine="480"/>
        <w:jc w:val="left"/>
        <w:rPr>
          <w:rFonts w:hint="eastAsia" w:ascii="宋体" w:hAnsi="宋体" w:cs="宋体"/>
          <w:sz w:val="28"/>
          <w:szCs w:val="28"/>
          <w:lang w:val="en-US" w:eastAsia="zh-CN"/>
        </w:rPr>
      </w:pPr>
    </w:p>
    <w:p>
      <w:pPr>
        <w:widowControl/>
        <w:shd w:val="clear" w:color="auto" w:fill="FFFFFF"/>
        <w:ind w:firstLine="480"/>
        <w:jc w:val="left"/>
        <w:rPr>
          <w:rFonts w:hint="eastAsia" w:ascii="宋体" w:hAnsi="宋体" w:cs="宋体"/>
          <w:sz w:val="28"/>
          <w:szCs w:val="28"/>
          <w:lang w:val="en-US" w:eastAsia="zh-CN"/>
        </w:rPr>
      </w:pPr>
    </w:p>
    <w:p>
      <w:pPr>
        <w:widowControl/>
        <w:shd w:val="clear" w:color="auto" w:fill="FFFFFF"/>
        <w:ind w:firstLine="480"/>
        <w:jc w:val="left"/>
        <w:rPr>
          <w:rFonts w:hint="eastAsia" w:ascii="宋体" w:hAnsi="宋体" w:cs="宋体"/>
          <w:sz w:val="28"/>
          <w:szCs w:val="28"/>
          <w:lang w:val="en-US" w:eastAsia="zh-CN"/>
        </w:rPr>
      </w:pPr>
    </w:p>
    <w:p>
      <w:pPr>
        <w:widowControl/>
        <w:shd w:val="clear" w:color="auto" w:fill="FFFFFF"/>
        <w:ind w:firstLine="480"/>
        <w:jc w:val="left"/>
        <w:rPr>
          <w:rFonts w:hint="eastAsia" w:ascii="宋体" w:hAnsi="宋体" w:cs="宋体"/>
          <w:sz w:val="28"/>
          <w:szCs w:val="28"/>
          <w:lang w:val="en-US" w:eastAsia="zh-CN"/>
        </w:rPr>
      </w:pP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Style w:val="7"/>
          <w:rFonts w:hint="eastAsia" w:ascii="微软雅黑" w:hAnsi="微软雅黑" w:eastAsia="微软雅黑" w:cs="微软雅黑"/>
          <w:i w:val="0"/>
          <w:caps w:val="0"/>
          <w:color w:val="333333"/>
          <w:spacing w:val="0"/>
          <w:sz w:val="24"/>
          <w:szCs w:val="24"/>
          <w:shd w:val="clear" w:fill="FFFFFF"/>
        </w:rPr>
      </w:pPr>
      <w:r>
        <w:rPr>
          <w:rStyle w:val="7"/>
          <w:rFonts w:hint="eastAsia" w:ascii="微软雅黑" w:hAnsi="微软雅黑" w:eastAsia="微软雅黑" w:cs="微软雅黑"/>
          <w:i w:val="0"/>
          <w:caps w:val="0"/>
          <w:color w:val="333333"/>
          <w:spacing w:val="0"/>
          <w:sz w:val="24"/>
          <w:szCs w:val="24"/>
          <w:shd w:val="clear" w:fill="FFFFFF"/>
          <w:lang w:eastAsia="zh-CN"/>
        </w:rPr>
        <w:t>部门2020年</w:t>
      </w:r>
      <w:r>
        <w:rPr>
          <w:rStyle w:val="7"/>
          <w:rFonts w:hint="eastAsia" w:ascii="微软雅黑" w:hAnsi="微软雅黑" w:eastAsia="微软雅黑" w:cs="微软雅黑"/>
          <w:i w:val="0"/>
          <w:caps w:val="0"/>
          <w:color w:val="333333"/>
          <w:spacing w:val="0"/>
          <w:sz w:val="24"/>
          <w:szCs w:val="24"/>
          <w:shd w:val="clear" w:fill="FFFFFF"/>
        </w:rPr>
        <w:t>部门决算表</w:t>
      </w:r>
    </w:p>
    <w:p>
      <w:pPr>
        <w:widowControl/>
        <w:shd w:val="clear" w:color="auto" w:fill="FFFFFF"/>
        <w:jc w:val="left"/>
        <w:rPr>
          <w:rFonts w:ascii="宋体" w:hAnsi="宋体" w:cs="宋体"/>
          <w:color w:val="333333"/>
          <w:kern w:val="0"/>
          <w:sz w:val="24"/>
        </w:rPr>
      </w:pPr>
    </w:p>
    <w:p>
      <w:pPr>
        <w:widowControl/>
        <w:shd w:val="clear" w:color="auto" w:fill="FFFFFF"/>
        <w:jc w:val="left"/>
        <w:rPr>
          <w:rFonts w:ascii="宋体" w:hAnsi="宋体" w:cs="宋体"/>
          <w:color w:val="333333"/>
          <w:kern w:val="0"/>
          <w:sz w:val="24"/>
        </w:rPr>
      </w:pPr>
    </w:p>
    <w:tbl>
      <w:tblPr>
        <w:tblStyle w:val="8"/>
        <w:tblW w:w="11396" w:type="dxa"/>
        <w:tblInd w:w="96" w:type="dxa"/>
        <w:shd w:val="clear" w:color="auto" w:fill="auto"/>
        <w:tblLayout w:type="fixed"/>
        <w:tblCellMar>
          <w:top w:w="0" w:type="dxa"/>
          <w:left w:w="108" w:type="dxa"/>
          <w:bottom w:w="0" w:type="dxa"/>
          <w:right w:w="108" w:type="dxa"/>
        </w:tblCellMar>
      </w:tblPr>
      <w:tblGrid>
        <w:gridCol w:w="3956"/>
        <w:gridCol w:w="616"/>
        <w:gridCol w:w="1236"/>
        <w:gridCol w:w="3216"/>
        <w:gridCol w:w="616"/>
        <w:gridCol w:w="1756"/>
      </w:tblGrid>
      <w:tr>
        <w:tblPrEx>
          <w:shd w:val="clear" w:color="auto" w:fill="auto"/>
          <w:tblLayout w:type="fixed"/>
          <w:tblCellMar>
            <w:top w:w="0" w:type="dxa"/>
            <w:left w:w="108" w:type="dxa"/>
            <w:bottom w:w="0" w:type="dxa"/>
            <w:right w:w="108" w:type="dxa"/>
          </w:tblCellMar>
        </w:tblPrEx>
        <w:trPr>
          <w:trHeight w:val="375" w:hRule="atLeast"/>
        </w:trPr>
        <w:tc>
          <w:tcPr>
            <w:tcW w:w="11396" w:type="dxa"/>
            <w:gridSpan w:val="6"/>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收入支出决算总表</w:t>
            </w:r>
          </w:p>
        </w:tc>
      </w:tr>
      <w:tr>
        <w:tblPrEx>
          <w:shd w:val="clear" w:color="auto" w:fill="auto"/>
          <w:tblLayout w:type="fixed"/>
          <w:tblCellMar>
            <w:top w:w="0" w:type="dxa"/>
            <w:left w:w="108" w:type="dxa"/>
            <w:bottom w:w="0" w:type="dxa"/>
            <w:right w:w="108" w:type="dxa"/>
          </w:tblCellMar>
        </w:tblPrEx>
        <w:trPr>
          <w:trHeight w:val="300" w:hRule="atLeast"/>
        </w:trPr>
        <w:tc>
          <w:tcPr>
            <w:tcW w:w="395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61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23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21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61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756"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公开01表</w:t>
            </w:r>
          </w:p>
        </w:tc>
      </w:tr>
      <w:tr>
        <w:tblPrEx>
          <w:tblLayout w:type="fixed"/>
          <w:tblCellMar>
            <w:top w:w="0" w:type="dxa"/>
            <w:left w:w="108" w:type="dxa"/>
            <w:bottom w:w="0" w:type="dxa"/>
            <w:right w:w="108" w:type="dxa"/>
          </w:tblCellMar>
        </w:tblPrEx>
        <w:trPr>
          <w:trHeight w:val="300" w:hRule="atLeast"/>
        </w:trPr>
        <w:tc>
          <w:tcPr>
            <w:tcW w:w="3956"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部门：黄石市黄石港区教育局（本级）</w:t>
            </w:r>
          </w:p>
        </w:tc>
        <w:tc>
          <w:tcPr>
            <w:tcW w:w="616"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236"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2020年度</w:t>
            </w:r>
          </w:p>
        </w:tc>
        <w:tc>
          <w:tcPr>
            <w:tcW w:w="3216"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616"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756"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shd w:val="clear" w:color="auto" w:fill="auto"/>
          <w:tblLayout w:type="fixed"/>
          <w:tblCellMar>
            <w:top w:w="0" w:type="dxa"/>
            <w:left w:w="108" w:type="dxa"/>
            <w:bottom w:w="0" w:type="dxa"/>
            <w:right w:w="108" w:type="dxa"/>
          </w:tblCellMar>
        </w:tblPrEx>
        <w:trPr>
          <w:trHeight w:val="300" w:hRule="atLeast"/>
        </w:trPr>
        <w:tc>
          <w:tcPr>
            <w:tcW w:w="5808"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收入</w:t>
            </w:r>
          </w:p>
        </w:tc>
        <w:tc>
          <w:tcPr>
            <w:tcW w:w="5588"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r>
      <w:tr>
        <w:tblPrEx>
          <w:shd w:val="clear" w:color="auto" w:fill="auto"/>
          <w:tblLayout w:type="fixed"/>
          <w:tblCellMar>
            <w:top w:w="0" w:type="dxa"/>
            <w:left w:w="108" w:type="dxa"/>
            <w:bottom w:w="0" w:type="dxa"/>
            <w:right w:w="108" w:type="dxa"/>
          </w:tblCellMar>
        </w:tblPrEx>
        <w:trPr>
          <w:trHeight w:val="300" w:hRule="atLeast"/>
        </w:trPr>
        <w:tc>
          <w:tcPr>
            <w:tcW w:w="395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123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17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tblPrEx>
          <w:shd w:val="clear" w:color="auto" w:fill="auto"/>
          <w:tblLayout w:type="fixed"/>
          <w:tblCellMar>
            <w:top w:w="0" w:type="dxa"/>
            <w:left w:w="108" w:type="dxa"/>
            <w:bottom w:w="0" w:type="dxa"/>
            <w:right w:w="108" w:type="dxa"/>
          </w:tblCellMar>
        </w:tblPrEx>
        <w:trPr>
          <w:trHeight w:val="300" w:hRule="atLeast"/>
        </w:trPr>
        <w:tc>
          <w:tcPr>
            <w:tcW w:w="395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616" w:type="dxa"/>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23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616" w:type="dxa"/>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7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Layout w:type="fixed"/>
          <w:tblCellMar>
            <w:top w:w="0" w:type="dxa"/>
            <w:left w:w="108" w:type="dxa"/>
            <w:bottom w:w="0" w:type="dxa"/>
            <w:right w:w="108" w:type="dxa"/>
          </w:tblCellMar>
        </w:tblPrEx>
        <w:trPr>
          <w:trHeight w:val="300" w:hRule="atLeast"/>
        </w:trPr>
        <w:tc>
          <w:tcPr>
            <w:tcW w:w="395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一、一般公共预算财政拨款收入</w:t>
            </w: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1,727.92</w:t>
            </w: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395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二、政府性基金预算财政拨款收入</w:t>
            </w: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395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三、国有资本经营预算财政拨款收入</w:t>
            </w: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395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四、上级补助收入</w:t>
            </w: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395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五、事业收入</w:t>
            </w: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1,896.19</w:t>
            </w:r>
          </w:p>
        </w:tc>
      </w:tr>
      <w:tr>
        <w:tblPrEx>
          <w:tblLayout w:type="fixed"/>
          <w:tblCellMar>
            <w:top w:w="0" w:type="dxa"/>
            <w:left w:w="108" w:type="dxa"/>
            <w:bottom w:w="0" w:type="dxa"/>
            <w:right w:w="108" w:type="dxa"/>
          </w:tblCellMar>
        </w:tblPrEx>
        <w:trPr>
          <w:trHeight w:val="300" w:hRule="atLeast"/>
        </w:trPr>
        <w:tc>
          <w:tcPr>
            <w:tcW w:w="395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六、经营收入</w:t>
            </w: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395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七、附属单位上缴收入</w:t>
            </w: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395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八、其他收入</w:t>
            </w: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168.27</w:t>
            </w: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3956"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3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3956"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3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3956"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3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3956"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3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3956"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3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3956"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3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3956"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3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3956"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23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3956"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23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3956"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3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3956"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23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3956"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3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3956"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23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3956"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23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3956"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23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3956" w:type="dxa"/>
            <w:tcBorders>
              <w:top w:val="nil"/>
              <w:left w:val="single" w:color="000000" w:sz="4" w:space="0"/>
              <w:bottom w:val="single" w:color="000000" w:sz="4" w:space="0"/>
              <w:right w:val="single" w:color="000000" w:sz="4" w:space="0"/>
            </w:tcBorders>
            <w:shd w:val="clear" w:color="auto" w:fill="C0C0C0"/>
            <w:noWrap/>
            <w:vAlign w:val="center"/>
          </w:tcPr>
          <w:p>
            <w:pPr>
              <w:jc w:val="center"/>
              <w:rPr>
                <w:rFonts w:hint="eastAsia" w:ascii="宋体" w:hAnsi="宋体" w:eastAsia="宋体" w:cs="宋体"/>
                <w:b/>
                <w:bCs/>
                <w:i w:val="0"/>
                <w:iCs w:val="0"/>
                <w:color w:val="000000"/>
                <w:sz w:val="20"/>
                <w:szCs w:val="20"/>
                <w:u w:val="none"/>
              </w:rPr>
            </w:pP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23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3956"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3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3956"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3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395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2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1,896.19</w:t>
            </w: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1,896.19</w:t>
            </w:r>
          </w:p>
        </w:tc>
      </w:tr>
      <w:tr>
        <w:tblPrEx>
          <w:shd w:val="clear" w:color="auto" w:fill="auto"/>
          <w:tblLayout w:type="fixed"/>
          <w:tblCellMar>
            <w:top w:w="0" w:type="dxa"/>
            <w:left w:w="108" w:type="dxa"/>
            <w:bottom w:w="0" w:type="dxa"/>
            <w:right w:w="108" w:type="dxa"/>
          </w:tblCellMar>
        </w:tblPrEx>
        <w:trPr>
          <w:trHeight w:val="300" w:hRule="atLeast"/>
        </w:trPr>
        <w:tc>
          <w:tcPr>
            <w:tcW w:w="395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使用非财政拨款结余</w:t>
            </w: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2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结余分配</w:t>
            </w: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395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年初结转和结余</w:t>
            </w: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2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年末结转和结余</w:t>
            </w: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3956"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23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16"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756"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r>
      <w:tr>
        <w:tblPrEx>
          <w:shd w:val="clear" w:color="auto" w:fill="auto"/>
          <w:tblLayout w:type="fixed"/>
          <w:tblCellMar>
            <w:top w:w="0" w:type="dxa"/>
            <w:left w:w="108" w:type="dxa"/>
            <w:bottom w:w="0" w:type="dxa"/>
            <w:right w:w="108" w:type="dxa"/>
          </w:tblCellMar>
        </w:tblPrEx>
        <w:trPr>
          <w:trHeight w:val="300" w:hRule="atLeast"/>
        </w:trPr>
        <w:tc>
          <w:tcPr>
            <w:tcW w:w="395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616" w:type="dxa"/>
            <w:tcBorders>
              <w:top w:val="nil"/>
              <w:left w:val="nil"/>
              <w:bottom w:val="single" w:color="000000" w:sz="12"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2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1,896.19</w:t>
            </w: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1,896.19</w:t>
            </w:r>
          </w:p>
        </w:tc>
      </w:tr>
      <w:tr>
        <w:tblPrEx>
          <w:shd w:val="clear" w:color="auto" w:fill="auto"/>
          <w:tblLayout w:type="fixed"/>
          <w:tblCellMar>
            <w:top w:w="0" w:type="dxa"/>
            <w:left w:w="108" w:type="dxa"/>
            <w:bottom w:w="0" w:type="dxa"/>
            <w:right w:w="108" w:type="dxa"/>
          </w:tblCellMar>
        </w:tblPrEx>
        <w:trPr>
          <w:trHeight w:val="300" w:hRule="atLeast"/>
        </w:trPr>
        <w:tc>
          <w:tcPr>
            <w:tcW w:w="11396" w:type="dxa"/>
            <w:gridSpan w:val="6"/>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注：本表反映部门本年度的总收支和年末结转结余情况。本套报表金额单位转换时可能存在尾数误差。</w:t>
            </w:r>
          </w:p>
        </w:tc>
      </w:tr>
    </w:tbl>
    <w:p>
      <w:pPr>
        <w:widowControl/>
        <w:shd w:val="clear" w:color="auto" w:fill="FFFFFF"/>
        <w:jc w:val="left"/>
        <w:rPr>
          <w:rFonts w:ascii="宋体" w:hAnsi="宋体" w:cs="宋体"/>
          <w:color w:val="333333"/>
          <w:kern w:val="0"/>
          <w:sz w:val="24"/>
        </w:rPr>
      </w:pPr>
    </w:p>
    <w:p>
      <w:pPr>
        <w:widowControl/>
        <w:shd w:val="clear" w:color="auto" w:fill="FFFFFF"/>
        <w:jc w:val="left"/>
        <w:rPr>
          <w:rFonts w:ascii="宋体" w:hAnsi="宋体" w:cs="宋体"/>
          <w:color w:val="333333"/>
          <w:kern w:val="0"/>
          <w:sz w:val="24"/>
        </w:rPr>
      </w:pPr>
    </w:p>
    <w:p>
      <w:pPr>
        <w:widowControl/>
        <w:shd w:val="clear" w:color="auto" w:fill="FFFFFF"/>
        <w:jc w:val="left"/>
        <w:rPr>
          <w:rFonts w:ascii="宋体" w:hAnsi="宋体" w:cs="宋体"/>
          <w:color w:val="333333"/>
          <w:kern w:val="0"/>
          <w:sz w:val="24"/>
        </w:rPr>
      </w:pPr>
    </w:p>
    <w:p>
      <w:pPr>
        <w:widowControl/>
        <w:shd w:val="clear" w:color="auto" w:fill="FFFFFF"/>
        <w:jc w:val="left"/>
        <w:rPr>
          <w:rFonts w:ascii="宋体" w:hAnsi="宋体" w:cs="宋体"/>
          <w:color w:val="333333"/>
          <w:kern w:val="0"/>
          <w:sz w:val="24"/>
        </w:rPr>
      </w:pPr>
    </w:p>
    <w:p>
      <w:pPr>
        <w:widowControl/>
        <w:shd w:val="clear" w:color="auto" w:fill="FFFFFF"/>
        <w:jc w:val="left"/>
        <w:rPr>
          <w:rFonts w:ascii="宋体" w:hAnsi="宋体" w:cs="宋体"/>
          <w:color w:val="333333"/>
          <w:kern w:val="0"/>
          <w:sz w:val="24"/>
        </w:rPr>
      </w:pPr>
    </w:p>
    <w:tbl>
      <w:tblPr>
        <w:tblStyle w:val="8"/>
        <w:tblpPr w:leftFromText="180" w:rightFromText="180" w:vertAnchor="text" w:horzAnchor="page" w:tblpX="107" w:tblpY="305"/>
        <w:tblOverlap w:val="never"/>
        <w:tblW w:w="21604" w:type="dxa"/>
        <w:tblInd w:w="0" w:type="dxa"/>
        <w:shd w:val="clear" w:color="auto" w:fill="auto"/>
        <w:tblLayout w:type="fixed"/>
        <w:tblCellMar>
          <w:top w:w="0" w:type="dxa"/>
          <w:left w:w="108" w:type="dxa"/>
          <w:bottom w:w="0" w:type="dxa"/>
          <w:right w:w="108" w:type="dxa"/>
        </w:tblCellMar>
      </w:tblPr>
      <w:tblGrid>
        <w:gridCol w:w="3956"/>
        <w:gridCol w:w="339"/>
        <w:gridCol w:w="240"/>
        <w:gridCol w:w="2053"/>
        <w:gridCol w:w="1560"/>
        <w:gridCol w:w="1725"/>
        <w:gridCol w:w="1425"/>
        <w:gridCol w:w="835"/>
        <w:gridCol w:w="990"/>
        <w:gridCol w:w="840"/>
        <w:gridCol w:w="1050"/>
        <w:gridCol w:w="6591"/>
      </w:tblGrid>
      <w:tr>
        <w:tblPrEx>
          <w:shd w:val="clear" w:color="auto" w:fill="auto"/>
          <w:tblLayout w:type="fixed"/>
          <w:tblCellMar>
            <w:top w:w="0" w:type="dxa"/>
            <w:left w:w="108" w:type="dxa"/>
            <w:bottom w:w="0" w:type="dxa"/>
            <w:right w:w="108" w:type="dxa"/>
          </w:tblCellMar>
        </w:tblPrEx>
        <w:trPr>
          <w:gridAfter w:val="1"/>
          <w:wAfter w:w="6591" w:type="dxa"/>
          <w:trHeight w:val="375" w:hRule="atLeast"/>
        </w:trPr>
        <w:tc>
          <w:tcPr>
            <w:tcW w:w="395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39"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4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053"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56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725" w:type="dxa"/>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收入决算表</w:t>
            </w:r>
          </w:p>
        </w:tc>
        <w:tc>
          <w:tcPr>
            <w:tcW w:w="142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83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99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84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05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r>
      <w:tr>
        <w:tblPrEx>
          <w:tblLayout w:type="fixed"/>
          <w:tblCellMar>
            <w:top w:w="0" w:type="dxa"/>
            <w:left w:w="108" w:type="dxa"/>
            <w:bottom w:w="0" w:type="dxa"/>
            <w:right w:w="108" w:type="dxa"/>
          </w:tblCellMar>
        </w:tblPrEx>
        <w:trPr>
          <w:gridAfter w:val="1"/>
          <w:wAfter w:w="6591" w:type="dxa"/>
          <w:trHeight w:val="300" w:hRule="atLeast"/>
        </w:trPr>
        <w:tc>
          <w:tcPr>
            <w:tcW w:w="395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39"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4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053"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56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72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42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83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99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84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050" w:type="dxa"/>
            <w:tcBorders>
              <w:top w:val="nil"/>
              <w:left w:val="nil"/>
              <w:bottom w:val="nil"/>
              <w:right w:val="nil"/>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公开02表</w:t>
            </w:r>
          </w:p>
        </w:tc>
      </w:tr>
      <w:tr>
        <w:tblPrEx>
          <w:tblLayout w:type="fixed"/>
          <w:tblCellMar>
            <w:top w:w="0" w:type="dxa"/>
            <w:left w:w="108" w:type="dxa"/>
            <w:bottom w:w="0" w:type="dxa"/>
            <w:right w:w="108" w:type="dxa"/>
          </w:tblCellMar>
        </w:tblPrEx>
        <w:trPr>
          <w:gridAfter w:val="1"/>
          <w:wAfter w:w="6591" w:type="dxa"/>
          <w:trHeight w:val="300" w:hRule="atLeast"/>
        </w:trPr>
        <w:tc>
          <w:tcPr>
            <w:tcW w:w="3956"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部门：黄石市黄石港区教育局（本级）</w:t>
            </w:r>
          </w:p>
        </w:tc>
        <w:tc>
          <w:tcPr>
            <w:tcW w:w="339"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240"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2053"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560"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725"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2020年度</w:t>
            </w:r>
          </w:p>
        </w:tc>
        <w:tc>
          <w:tcPr>
            <w:tcW w:w="1425"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835"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990"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840"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050"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Layout w:type="fixed"/>
          <w:tblCellMar>
            <w:top w:w="0" w:type="dxa"/>
            <w:left w:w="108" w:type="dxa"/>
            <w:bottom w:w="0" w:type="dxa"/>
            <w:right w:w="108" w:type="dxa"/>
          </w:tblCellMar>
        </w:tblPrEx>
        <w:trPr>
          <w:gridAfter w:val="1"/>
          <w:wAfter w:w="6591" w:type="dxa"/>
          <w:trHeight w:val="300" w:hRule="atLeast"/>
        </w:trPr>
        <w:tc>
          <w:tcPr>
            <w:tcW w:w="6588"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56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本年收入合计</w:t>
            </w:r>
          </w:p>
        </w:tc>
        <w:tc>
          <w:tcPr>
            <w:tcW w:w="172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财政拨款收入</w:t>
            </w:r>
          </w:p>
        </w:tc>
        <w:tc>
          <w:tcPr>
            <w:tcW w:w="142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上级补助收入</w:t>
            </w:r>
          </w:p>
        </w:tc>
        <w:tc>
          <w:tcPr>
            <w:tcW w:w="83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事业收入</w:t>
            </w:r>
          </w:p>
        </w:tc>
        <w:tc>
          <w:tcPr>
            <w:tcW w:w="99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经营收入</w:t>
            </w:r>
          </w:p>
        </w:tc>
        <w:tc>
          <w:tcPr>
            <w:tcW w:w="84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附属单位上缴收入</w:t>
            </w:r>
          </w:p>
        </w:tc>
        <w:tc>
          <w:tcPr>
            <w:tcW w:w="105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其他收入</w:t>
            </w:r>
          </w:p>
        </w:tc>
      </w:tr>
      <w:tr>
        <w:tblPrEx>
          <w:tblLayout w:type="fixed"/>
          <w:tblCellMar>
            <w:top w:w="0" w:type="dxa"/>
            <w:left w:w="108" w:type="dxa"/>
            <w:bottom w:w="0" w:type="dxa"/>
            <w:right w:w="108" w:type="dxa"/>
          </w:tblCellMar>
        </w:tblPrEx>
        <w:trPr>
          <w:gridAfter w:val="1"/>
          <w:wAfter w:w="6591" w:type="dxa"/>
          <w:trHeight w:val="300" w:hRule="atLeast"/>
        </w:trPr>
        <w:tc>
          <w:tcPr>
            <w:tcW w:w="4535"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2053" w:type="dxa"/>
            <w:vMerge w:val="restar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56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72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42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3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Layout w:type="fixed"/>
          <w:tblCellMar>
            <w:top w:w="0" w:type="dxa"/>
            <w:left w:w="108" w:type="dxa"/>
            <w:bottom w:w="0" w:type="dxa"/>
            <w:right w:w="108" w:type="dxa"/>
          </w:tblCellMar>
        </w:tblPrEx>
        <w:trPr>
          <w:gridAfter w:val="1"/>
          <w:wAfter w:w="6591" w:type="dxa"/>
          <w:trHeight w:val="300" w:hRule="atLeast"/>
        </w:trPr>
        <w:tc>
          <w:tcPr>
            <w:tcW w:w="4535"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053"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56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72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42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3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Layout w:type="fixed"/>
          <w:tblCellMar>
            <w:top w:w="0" w:type="dxa"/>
            <w:left w:w="108" w:type="dxa"/>
            <w:bottom w:w="0" w:type="dxa"/>
            <w:right w:w="108" w:type="dxa"/>
          </w:tblCellMar>
        </w:tblPrEx>
        <w:trPr>
          <w:gridAfter w:val="1"/>
          <w:wAfter w:w="6591" w:type="dxa"/>
          <w:trHeight w:val="300" w:hRule="atLeast"/>
        </w:trPr>
        <w:tc>
          <w:tcPr>
            <w:tcW w:w="4535"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053"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56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72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42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3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Layout w:type="fixed"/>
          <w:tblCellMar>
            <w:top w:w="0" w:type="dxa"/>
            <w:left w:w="108" w:type="dxa"/>
            <w:bottom w:w="0" w:type="dxa"/>
            <w:right w:w="108" w:type="dxa"/>
          </w:tblCellMar>
        </w:tblPrEx>
        <w:trPr>
          <w:gridAfter w:val="1"/>
          <w:wAfter w:w="6591" w:type="dxa"/>
          <w:trHeight w:val="300" w:hRule="atLeast"/>
        </w:trPr>
        <w:tc>
          <w:tcPr>
            <w:tcW w:w="6588"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56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2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2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3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9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4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5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Layout w:type="fixed"/>
          <w:tblCellMar>
            <w:top w:w="0" w:type="dxa"/>
            <w:left w:w="108" w:type="dxa"/>
            <w:bottom w:w="0" w:type="dxa"/>
            <w:right w:w="108" w:type="dxa"/>
          </w:tblCellMar>
        </w:tblPrEx>
        <w:trPr>
          <w:gridAfter w:val="1"/>
          <w:wAfter w:w="6591" w:type="dxa"/>
          <w:trHeight w:val="300" w:hRule="atLeast"/>
        </w:trPr>
        <w:tc>
          <w:tcPr>
            <w:tcW w:w="6588"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1,896.19</w:t>
            </w:r>
          </w:p>
        </w:tc>
        <w:tc>
          <w:tcPr>
            <w:tcW w:w="17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1,727.92</w:t>
            </w:r>
          </w:p>
        </w:tc>
        <w:tc>
          <w:tcPr>
            <w:tcW w:w="14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9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168.27</w:t>
            </w:r>
          </w:p>
        </w:tc>
      </w:tr>
      <w:tr>
        <w:tblPrEx>
          <w:tblLayout w:type="fixed"/>
          <w:tblCellMar>
            <w:top w:w="0" w:type="dxa"/>
            <w:left w:w="108" w:type="dxa"/>
            <w:bottom w:w="0" w:type="dxa"/>
            <w:right w:w="108" w:type="dxa"/>
          </w:tblCellMar>
        </w:tblPrEx>
        <w:trPr>
          <w:gridAfter w:val="1"/>
          <w:wAfter w:w="6591" w:type="dxa"/>
          <w:trHeight w:val="300" w:hRule="atLeast"/>
        </w:trPr>
        <w:tc>
          <w:tcPr>
            <w:tcW w:w="4535"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w:t>
            </w:r>
          </w:p>
        </w:tc>
        <w:tc>
          <w:tcPr>
            <w:tcW w:w="20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教育支出</w:t>
            </w:r>
          </w:p>
        </w:tc>
        <w:tc>
          <w:tcPr>
            <w:tcW w:w="156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1,896.19</w:t>
            </w:r>
          </w:p>
        </w:tc>
        <w:tc>
          <w:tcPr>
            <w:tcW w:w="17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1,727.92</w:t>
            </w:r>
          </w:p>
        </w:tc>
        <w:tc>
          <w:tcPr>
            <w:tcW w:w="14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3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99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168.27</w:t>
            </w:r>
          </w:p>
        </w:tc>
      </w:tr>
      <w:tr>
        <w:tblPrEx>
          <w:tblLayout w:type="fixed"/>
          <w:tblCellMar>
            <w:top w:w="0" w:type="dxa"/>
            <w:left w:w="108" w:type="dxa"/>
            <w:bottom w:w="0" w:type="dxa"/>
            <w:right w:w="108" w:type="dxa"/>
          </w:tblCellMar>
        </w:tblPrEx>
        <w:trPr>
          <w:gridAfter w:val="1"/>
          <w:wAfter w:w="6591" w:type="dxa"/>
          <w:trHeight w:val="300" w:hRule="atLeast"/>
        </w:trPr>
        <w:tc>
          <w:tcPr>
            <w:tcW w:w="4535"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20501</w:t>
            </w:r>
          </w:p>
        </w:tc>
        <w:tc>
          <w:tcPr>
            <w:tcW w:w="20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教育管理事务</w:t>
            </w:r>
          </w:p>
        </w:tc>
        <w:tc>
          <w:tcPr>
            <w:tcW w:w="156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1,724.97</w:t>
            </w:r>
          </w:p>
        </w:tc>
        <w:tc>
          <w:tcPr>
            <w:tcW w:w="17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1,556.70</w:t>
            </w:r>
          </w:p>
        </w:tc>
        <w:tc>
          <w:tcPr>
            <w:tcW w:w="14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3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99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168.27</w:t>
            </w:r>
          </w:p>
        </w:tc>
      </w:tr>
      <w:tr>
        <w:tblPrEx>
          <w:tblLayout w:type="fixed"/>
          <w:tblCellMar>
            <w:top w:w="0" w:type="dxa"/>
            <w:left w:w="108" w:type="dxa"/>
            <w:bottom w:w="0" w:type="dxa"/>
            <w:right w:w="108" w:type="dxa"/>
          </w:tblCellMar>
        </w:tblPrEx>
        <w:trPr>
          <w:gridAfter w:val="1"/>
          <w:wAfter w:w="6591" w:type="dxa"/>
          <w:trHeight w:val="300" w:hRule="atLeast"/>
        </w:trPr>
        <w:tc>
          <w:tcPr>
            <w:tcW w:w="4535"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2050101</w:t>
            </w:r>
          </w:p>
        </w:tc>
        <w:tc>
          <w:tcPr>
            <w:tcW w:w="2053"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1,724.97</w:t>
            </w:r>
          </w:p>
        </w:tc>
        <w:tc>
          <w:tcPr>
            <w:tcW w:w="17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1,556.70</w:t>
            </w:r>
          </w:p>
        </w:tc>
        <w:tc>
          <w:tcPr>
            <w:tcW w:w="14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168.27</w:t>
            </w:r>
          </w:p>
        </w:tc>
      </w:tr>
      <w:tr>
        <w:tblPrEx>
          <w:tblLayout w:type="fixed"/>
          <w:tblCellMar>
            <w:top w:w="0" w:type="dxa"/>
            <w:left w:w="108" w:type="dxa"/>
            <w:bottom w:w="0" w:type="dxa"/>
            <w:right w:w="108" w:type="dxa"/>
          </w:tblCellMar>
        </w:tblPrEx>
        <w:trPr>
          <w:gridAfter w:val="1"/>
          <w:wAfter w:w="6591" w:type="dxa"/>
          <w:trHeight w:val="300" w:hRule="atLeast"/>
        </w:trPr>
        <w:tc>
          <w:tcPr>
            <w:tcW w:w="4535"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20502</w:t>
            </w:r>
          </w:p>
        </w:tc>
        <w:tc>
          <w:tcPr>
            <w:tcW w:w="20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普通教育</w:t>
            </w:r>
          </w:p>
        </w:tc>
        <w:tc>
          <w:tcPr>
            <w:tcW w:w="156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171.22</w:t>
            </w:r>
          </w:p>
        </w:tc>
        <w:tc>
          <w:tcPr>
            <w:tcW w:w="17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171.22</w:t>
            </w:r>
          </w:p>
        </w:tc>
        <w:tc>
          <w:tcPr>
            <w:tcW w:w="14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3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99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gridAfter w:val="1"/>
          <w:wAfter w:w="6591" w:type="dxa"/>
          <w:trHeight w:val="300" w:hRule="atLeast"/>
        </w:trPr>
        <w:tc>
          <w:tcPr>
            <w:tcW w:w="4535"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2050201</w:t>
            </w:r>
          </w:p>
        </w:tc>
        <w:tc>
          <w:tcPr>
            <w:tcW w:w="2053"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学前教育</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142.74</w:t>
            </w:r>
          </w:p>
        </w:tc>
        <w:tc>
          <w:tcPr>
            <w:tcW w:w="17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142.74</w:t>
            </w:r>
          </w:p>
        </w:tc>
        <w:tc>
          <w:tcPr>
            <w:tcW w:w="14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gridAfter w:val="1"/>
          <w:wAfter w:w="6591" w:type="dxa"/>
          <w:trHeight w:val="300" w:hRule="atLeast"/>
        </w:trPr>
        <w:tc>
          <w:tcPr>
            <w:tcW w:w="4535"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2050202</w:t>
            </w:r>
          </w:p>
        </w:tc>
        <w:tc>
          <w:tcPr>
            <w:tcW w:w="2053"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小学教育</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11.90</w:t>
            </w:r>
          </w:p>
        </w:tc>
        <w:tc>
          <w:tcPr>
            <w:tcW w:w="17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11.90</w:t>
            </w:r>
          </w:p>
        </w:tc>
        <w:tc>
          <w:tcPr>
            <w:tcW w:w="14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gridAfter w:val="1"/>
          <w:wAfter w:w="6591" w:type="dxa"/>
          <w:trHeight w:val="300" w:hRule="atLeast"/>
        </w:trPr>
        <w:tc>
          <w:tcPr>
            <w:tcW w:w="4535"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2050299</w:t>
            </w:r>
          </w:p>
        </w:tc>
        <w:tc>
          <w:tcPr>
            <w:tcW w:w="2053"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其他普通教育支出</w:t>
            </w:r>
          </w:p>
        </w:tc>
        <w:tc>
          <w:tcPr>
            <w:tcW w:w="15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16.58</w:t>
            </w:r>
          </w:p>
        </w:tc>
        <w:tc>
          <w:tcPr>
            <w:tcW w:w="17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16.58</w:t>
            </w:r>
          </w:p>
        </w:tc>
        <w:tc>
          <w:tcPr>
            <w:tcW w:w="14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21604" w:type="dxa"/>
            <w:gridSpan w:val="12"/>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注：本表反映部门本年度取得的各项收入情况。</w:t>
            </w:r>
          </w:p>
        </w:tc>
      </w:tr>
    </w:tbl>
    <w:p>
      <w:pPr>
        <w:widowControl/>
        <w:shd w:val="clear" w:color="auto" w:fill="FFFFFF"/>
        <w:jc w:val="left"/>
        <w:rPr>
          <w:rFonts w:ascii="宋体" w:hAnsi="宋体" w:cs="宋体"/>
          <w:color w:val="333333"/>
          <w:kern w:val="0"/>
          <w:sz w:val="24"/>
        </w:rPr>
      </w:pPr>
    </w:p>
    <w:p>
      <w:pPr>
        <w:widowControl/>
        <w:shd w:val="clear" w:color="auto" w:fill="FFFFFF"/>
        <w:jc w:val="left"/>
        <w:rPr>
          <w:rFonts w:ascii="宋体" w:hAnsi="宋体" w:cs="宋体"/>
          <w:color w:val="333333"/>
          <w:kern w:val="0"/>
          <w:sz w:val="24"/>
        </w:rPr>
      </w:pPr>
    </w:p>
    <w:p>
      <w:pPr>
        <w:widowControl/>
        <w:shd w:val="clear" w:color="auto" w:fill="FFFFFF"/>
        <w:jc w:val="left"/>
        <w:rPr>
          <w:rFonts w:ascii="宋体" w:hAnsi="宋体" w:cs="宋体"/>
          <w:color w:val="333333"/>
          <w:kern w:val="0"/>
          <w:sz w:val="24"/>
        </w:rPr>
      </w:pPr>
    </w:p>
    <w:p>
      <w:pPr>
        <w:widowControl/>
        <w:shd w:val="clear" w:color="auto" w:fill="FFFFFF"/>
        <w:jc w:val="left"/>
        <w:rPr>
          <w:rFonts w:ascii="宋体" w:hAnsi="宋体" w:cs="宋体"/>
          <w:color w:val="333333"/>
          <w:kern w:val="0"/>
          <w:sz w:val="24"/>
        </w:rPr>
      </w:pPr>
    </w:p>
    <w:p>
      <w:pPr>
        <w:widowControl/>
        <w:shd w:val="clear" w:color="auto" w:fill="FFFFFF"/>
        <w:jc w:val="left"/>
        <w:rPr>
          <w:rFonts w:ascii="宋体" w:hAnsi="宋体" w:cs="宋体"/>
          <w:color w:val="333333"/>
          <w:kern w:val="0"/>
          <w:sz w:val="24"/>
        </w:rPr>
      </w:pPr>
    </w:p>
    <w:p>
      <w:pPr>
        <w:widowControl/>
        <w:shd w:val="clear" w:color="auto" w:fill="FFFFFF"/>
        <w:jc w:val="left"/>
        <w:rPr>
          <w:rFonts w:ascii="宋体" w:hAnsi="宋体" w:cs="宋体"/>
          <w:color w:val="333333"/>
          <w:kern w:val="0"/>
          <w:sz w:val="24"/>
        </w:rPr>
      </w:pPr>
    </w:p>
    <w:tbl>
      <w:tblPr>
        <w:tblStyle w:val="8"/>
        <w:tblW w:w="13866" w:type="dxa"/>
        <w:tblInd w:w="96" w:type="dxa"/>
        <w:shd w:val="clear" w:color="auto" w:fill="auto"/>
        <w:tblLayout w:type="fixed"/>
        <w:tblCellMar>
          <w:top w:w="0" w:type="dxa"/>
          <w:left w:w="108" w:type="dxa"/>
          <w:bottom w:w="0" w:type="dxa"/>
          <w:right w:w="108" w:type="dxa"/>
        </w:tblCellMar>
      </w:tblPr>
      <w:tblGrid>
        <w:gridCol w:w="3956"/>
        <w:gridCol w:w="339"/>
        <w:gridCol w:w="339"/>
        <w:gridCol w:w="2520"/>
        <w:gridCol w:w="1320"/>
        <w:gridCol w:w="1308"/>
        <w:gridCol w:w="708"/>
        <w:gridCol w:w="804"/>
        <w:gridCol w:w="816"/>
        <w:gridCol w:w="1756"/>
      </w:tblGrid>
      <w:tr>
        <w:tblPrEx>
          <w:tblLayout w:type="fixed"/>
          <w:tblCellMar>
            <w:top w:w="0" w:type="dxa"/>
            <w:left w:w="108" w:type="dxa"/>
            <w:bottom w:w="0" w:type="dxa"/>
            <w:right w:w="108" w:type="dxa"/>
          </w:tblCellMar>
        </w:tblPrEx>
        <w:trPr>
          <w:trHeight w:val="375" w:hRule="atLeast"/>
        </w:trPr>
        <w:tc>
          <w:tcPr>
            <w:tcW w:w="395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39"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39"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52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320" w:type="dxa"/>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支出决算表</w:t>
            </w:r>
          </w:p>
        </w:tc>
        <w:tc>
          <w:tcPr>
            <w:tcW w:w="1308"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708"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804"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81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75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r>
      <w:tr>
        <w:tblPrEx>
          <w:tblLayout w:type="fixed"/>
          <w:tblCellMar>
            <w:top w:w="0" w:type="dxa"/>
            <w:left w:w="108" w:type="dxa"/>
            <w:bottom w:w="0" w:type="dxa"/>
            <w:right w:w="108" w:type="dxa"/>
          </w:tblCellMar>
        </w:tblPrEx>
        <w:trPr>
          <w:trHeight w:val="300" w:hRule="atLeast"/>
        </w:trPr>
        <w:tc>
          <w:tcPr>
            <w:tcW w:w="395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39"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39"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52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32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308"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708"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804"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81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756"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公开03表</w:t>
            </w:r>
          </w:p>
        </w:tc>
      </w:tr>
      <w:tr>
        <w:tblPrEx>
          <w:tblLayout w:type="fixed"/>
          <w:tblCellMar>
            <w:top w:w="0" w:type="dxa"/>
            <w:left w:w="108" w:type="dxa"/>
            <w:bottom w:w="0" w:type="dxa"/>
            <w:right w:w="108" w:type="dxa"/>
          </w:tblCellMar>
        </w:tblPrEx>
        <w:trPr>
          <w:trHeight w:val="300" w:hRule="atLeast"/>
        </w:trPr>
        <w:tc>
          <w:tcPr>
            <w:tcW w:w="3956"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部门：黄石市黄石港区教育局（本级）</w:t>
            </w:r>
          </w:p>
        </w:tc>
        <w:tc>
          <w:tcPr>
            <w:tcW w:w="339"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339"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2520"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320"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2020年度</w:t>
            </w:r>
          </w:p>
        </w:tc>
        <w:tc>
          <w:tcPr>
            <w:tcW w:w="1308"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708"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804"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816"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756"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Layout w:type="fixed"/>
          <w:tblCellMar>
            <w:top w:w="0" w:type="dxa"/>
            <w:left w:w="108" w:type="dxa"/>
            <w:bottom w:w="0" w:type="dxa"/>
            <w:right w:w="108" w:type="dxa"/>
          </w:tblCellMar>
        </w:tblPrEx>
        <w:trPr>
          <w:trHeight w:val="300" w:hRule="atLeast"/>
        </w:trPr>
        <w:tc>
          <w:tcPr>
            <w:tcW w:w="7154"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32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本年支出合计</w:t>
            </w:r>
          </w:p>
        </w:tc>
        <w:tc>
          <w:tcPr>
            <w:tcW w:w="1308"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708"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804"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上缴上级支出</w:t>
            </w:r>
          </w:p>
        </w:tc>
        <w:tc>
          <w:tcPr>
            <w:tcW w:w="816"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经营支出</w:t>
            </w:r>
          </w:p>
        </w:tc>
        <w:tc>
          <w:tcPr>
            <w:tcW w:w="1756"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对附属单位补助支出</w:t>
            </w:r>
          </w:p>
        </w:tc>
      </w:tr>
      <w:tr>
        <w:tblPrEx>
          <w:tblLayout w:type="fixed"/>
          <w:tblCellMar>
            <w:top w:w="0" w:type="dxa"/>
            <w:left w:w="108" w:type="dxa"/>
            <w:bottom w:w="0" w:type="dxa"/>
            <w:right w:w="108" w:type="dxa"/>
          </w:tblCellMar>
        </w:tblPrEx>
        <w:trPr>
          <w:trHeight w:val="300" w:hRule="atLeast"/>
        </w:trPr>
        <w:tc>
          <w:tcPr>
            <w:tcW w:w="4634"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2520" w:type="dxa"/>
            <w:vMerge w:val="restar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32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30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70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04"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1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75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Layout w:type="fixed"/>
          <w:tblCellMar>
            <w:top w:w="0" w:type="dxa"/>
            <w:left w:w="108" w:type="dxa"/>
            <w:bottom w:w="0" w:type="dxa"/>
            <w:right w:w="108" w:type="dxa"/>
          </w:tblCellMar>
        </w:tblPrEx>
        <w:trPr>
          <w:trHeight w:val="300" w:hRule="atLeast"/>
        </w:trPr>
        <w:tc>
          <w:tcPr>
            <w:tcW w:w="4634"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520"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32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30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70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04"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1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75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Layout w:type="fixed"/>
          <w:tblCellMar>
            <w:top w:w="0" w:type="dxa"/>
            <w:left w:w="108" w:type="dxa"/>
            <w:bottom w:w="0" w:type="dxa"/>
            <w:right w:w="108" w:type="dxa"/>
          </w:tblCellMar>
        </w:tblPrEx>
        <w:trPr>
          <w:trHeight w:val="300" w:hRule="atLeast"/>
        </w:trPr>
        <w:tc>
          <w:tcPr>
            <w:tcW w:w="4634"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520"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32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30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70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04"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1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75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Layout w:type="fixed"/>
          <w:tblCellMar>
            <w:top w:w="0" w:type="dxa"/>
            <w:left w:w="108" w:type="dxa"/>
            <w:bottom w:w="0" w:type="dxa"/>
            <w:right w:w="108" w:type="dxa"/>
          </w:tblCellMar>
        </w:tblPrEx>
        <w:trPr>
          <w:trHeight w:val="300" w:hRule="atLeast"/>
        </w:trPr>
        <w:tc>
          <w:tcPr>
            <w:tcW w:w="7154"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32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8"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08"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04"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16"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56"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Layout w:type="fixed"/>
          <w:tblCellMar>
            <w:top w:w="0" w:type="dxa"/>
            <w:left w:w="108" w:type="dxa"/>
            <w:bottom w:w="0" w:type="dxa"/>
            <w:right w:w="108" w:type="dxa"/>
          </w:tblCellMar>
        </w:tblPrEx>
        <w:trPr>
          <w:trHeight w:val="300" w:hRule="atLeast"/>
        </w:trPr>
        <w:tc>
          <w:tcPr>
            <w:tcW w:w="7154"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3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1,896.19</w:t>
            </w:r>
          </w:p>
        </w:tc>
        <w:tc>
          <w:tcPr>
            <w:tcW w:w="130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1,896.19</w:t>
            </w:r>
          </w:p>
        </w:tc>
        <w:tc>
          <w:tcPr>
            <w:tcW w:w="70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4634"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w:t>
            </w:r>
          </w:p>
        </w:tc>
        <w:tc>
          <w:tcPr>
            <w:tcW w:w="252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教育支出</w:t>
            </w:r>
          </w:p>
        </w:tc>
        <w:tc>
          <w:tcPr>
            <w:tcW w:w="132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1,896.19</w:t>
            </w:r>
          </w:p>
        </w:tc>
        <w:tc>
          <w:tcPr>
            <w:tcW w:w="130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1,896.19</w:t>
            </w:r>
          </w:p>
        </w:tc>
        <w:tc>
          <w:tcPr>
            <w:tcW w:w="70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0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4634"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20501</w:t>
            </w:r>
          </w:p>
        </w:tc>
        <w:tc>
          <w:tcPr>
            <w:tcW w:w="252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教育管理事务</w:t>
            </w:r>
          </w:p>
        </w:tc>
        <w:tc>
          <w:tcPr>
            <w:tcW w:w="132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1,724.97</w:t>
            </w:r>
          </w:p>
        </w:tc>
        <w:tc>
          <w:tcPr>
            <w:tcW w:w="130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1,724.97</w:t>
            </w:r>
          </w:p>
        </w:tc>
        <w:tc>
          <w:tcPr>
            <w:tcW w:w="70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0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4634"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2050101</w:t>
            </w:r>
          </w:p>
        </w:tc>
        <w:tc>
          <w:tcPr>
            <w:tcW w:w="2520"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1,724.97</w:t>
            </w:r>
          </w:p>
        </w:tc>
        <w:tc>
          <w:tcPr>
            <w:tcW w:w="130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1,724.97</w:t>
            </w:r>
          </w:p>
        </w:tc>
        <w:tc>
          <w:tcPr>
            <w:tcW w:w="70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4634"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20502</w:t>
            </w:r>
          </w:p>
        </w:tc>
        <w:tc>
          <w:tcPr>
            <w:tcW w:w="252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普通教育</w:t>
            </w:r>
          </w:p>
        </w:tc>
        <w:tc>
          <w:tcPr>
            <w:tcW w:w="132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171.22</w:t>
            </w:r>
          </w:p>
        </w:tc>
        <w:tc>
          <w:tcPr>
            <w:tcW w:w="130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171.22</w:t>
            </w:r>
          </w:p>
        </w:tc>
        <w:tc>
          <w:tcPr>
            <w:tcW w:w="70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0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4634"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2050201</w:t>
            </w:r>
          </w:p>
        </w:tc>
        <w:tc>
          <w:tcPr>
            <w:tcW w:w="2520"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学前教育</w:t>
            </w:r>
          </w:p>
        </w:tc>
        <w:tc>
          <w:tcPr>
            <w:tcW w:w="13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142.74</w:t>
            </w:r>
          </w:p>
        </w:tc>
        <w:tc>
          <w:tcPr>
            <w:tcW w:w="130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142.74</w:t>
            </w:r>
          </w:p>
        </w:tc>
        <w:tc>
          <w:tcPr>
            <w:tcW w:w="70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4634"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2050202</w:t>
            </w:r>
          </w:p>
        </w:tc>
        <w:tc>
          <w:tcPr>
            <w:tcW w:w="2520"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小学教育</w:t>
            </w:r>
          </w:p>
        </w:tc>
        <w:tc>
          <w:tcPr>
            <w:tcW w:w="13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11.90</w:t>
            </w:r>
          </w:p>
        </w:tc>
        <w:tc>
          <w:tcPr>
            <w:tcW w:w="130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11.90</w:t>
            </w:r>
          </w:p>
        </w:tc>
        <w:tc>
          <w:tcPr>
            <w:tcW w:w="70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4634"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2050299</w:t>
            </w:r>
          </w:p>
        </w:tc>
        <w:tc>
          <w:tcPr>
            <w:tcW w:w="2520"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其他普通教育支出</w:t>
            </w:r>
          </w:p>
        </w:tc>
        <w:tc>
          <w:tcPr>
            <w:tcW w:w="13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16.58</w:t>
            </w:r>
          </w:p>
        </w:tc>
        <w:tc>
          <w:tcPr>
            <w:tcW w:w="130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16.58</w:t>
            </w:r>
          </w:p>
        </w:tc>
        <w:tc>
          <w:tcPr>
            <w:tcW w:w="70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0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13866" w:type="dxa"/>
            <w:gridSpan w:val="10"/>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注：本表反映部门本年度各项支出情况。</w:t>
            </w:r>
          </w:p>
        </w:tc>
      </w:tr>
    </w:tbl>
    <w:p>
      <w:pPr>
        <w:widowControl/>
        <w:shd w:val="clear" w:color="auto" w:fill="FFFFFF"/>
        <w:jc w:val="left"/>
        <w:rPr>
          <w:rFonts w:ascii="宋体" w:hAnsi="宋体" w:cs="宋体"/>
          <w:color w:val="333333"/>
          <w:kern w:val="0"/>
          <w:sz w:val="24"/>
        </w:rPr>
      </w:pPr>
    </w:p>
    <w:p>
      <w:pPr>
        <w:widowControl/>
        <w:shd w:val="clear" w:color="auto" w:fill="FFFFFF"/>
        <w:jc w:val="left"/>
        <w:rPr>
          <w:rFonts w:ascii="宋体" w:hAnsi="宋体" w:cs="宋体"/>
          <w:color w:val="333333"/>
          <w:kern w:val="0"/>
          <w:sz w:val="24"/>
        </w:rPr>
      </w:pPr>
    </w:p>
    <w:p>
      <w:pPr>
        <w:widowControl/>
        <w:shd w:val="clear" w:color="auto" w:fill="FFFFFF"/>
        <w:jc w:val="left"/>
        <w:rPr>
          <w:rFonts w:ascii="宋体" w:hAnsi="宋体" w:cs="宋体"/>
          <w:color w:val="333333"/>
          <w:kern w:val="0"/>
          <w:sz w:val="24"/>
        </w:rPr>
      </w:pPr>
    </w:p>
    <w:p>
      <w:pPr>
        <w:widowControl/>
        <w:shd w:val="clear" w:color="auto" w:fill="FFFFFF"/>
        <w:jc w:val="left"/>
        <w:rPr>
          <w:rFonts w:ascii="宋体" w:hAnsi="宋体" w:cs="宋体"/>
          <w:color w:val="333333"/>
          <w:kern w:val="0"/>
          <w:sz w:val="24"/>
        </w:rPr>
      </w:pPr>
    </w:p>
    <w:p>
      <w:pPr>
        <w:widowControl/>
        <w:shd w:val="clear" w:color="auto" w:fill="FFFFFF"/>
        <w:jc w:val="left"/>
        <w:rPr>
          <w:rFonts w:ascii="宋体" w:hAnsi="宋体" w:cs="宋体"/>
          <w:color w:val="333333"/>
          <w:kern w:val="0"/>
          <w:sz w:val="24"/>
        </w:rPr>
      </w:pPr>
    </w:p>
    <w:tbl>
      <w:tblPr>
        <w:tblStyle w:val="8"/>
        <w:tblW w:w="14078" w:type="dxa"/>
        <w:tblInd w:w="96" w:type="dxa"/>
        <w:shd w:val="clear" w:color="auto" w:fill="auto"/>
        <w:tblLayout w:type="fixed"/>
        <w:tblCellMar>
          <w:top w:w="0" w:type="dxa"/>
          <w:left w:w="108" w:type="dxa"/>
          <w:bottom w:w="0" w:type="dxa"/>
          <w:right w:w="108" w:type="dxa"/>
        </w:tblCellMar>
      </w:tblPr>
      <w:tblGrid>
        <w:gridCol w:w="3568"/>
        <w:gridCol w:w="625"/>
        <w:gridCol w:w="1066"/>
        <w:gridCol w:w="2970"/>
        <w:gridCol w:w="1054"/>
        <w:gridCol w:w="1066"/>
        <w:gridCol w:w="1066"/>
        <w:gridCol w:w="1066"/>
        <w:gridCol w:w="1597"/>
      </w:tblGrid>
      <w:tr>
        <w:tblPrEx>
          <w:tblLayout w:type="fixed"/>
          <w:tblCellMar>
            <w:top w:w="0" w:type="dxa"/>
            <w:left w:w="108" w:type="dxa"/>
            <w:bottom w:w="0" w:type="dxa"/>
            <w:right w:w="108" w:type="dxa"/>
          </w:tblCellMar>
        </w:tblPrEx>
        <w:trPr>
          <w:trHeight w:val="375" w:hRule="atLeast"/>
        </w:trPr>
        <w:tc>
          <w:tcPr>
            <w:tcW w:w="3568"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62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06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97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财政拨款收入支出决算总表</w:t>
            </w:r>
          </w:p>
        </w:tc>
        <w:tc>
          <w:tcPr>
            <w:tcW w:w="1054" w:type="dxa"/>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ascii="黑体" w:hAnsi="宋体" w:eastAsia="黑体" w:cs="黑体"/>
                <w:i w:val="0"/>
                <w:iCs w:val="0"/>
                <w:color w:val="000000"/>
                <w:sz w:val="30"/>
                <w:szCs w:val="30"/>
                <w:u w:val="none"/>
              </w:rPr>
            </w:pPr>
          </w:p>
        </w:tc>
        <w:tc>
          <w:tcPr>
            <w:tcW w:w="106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06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06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597"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r>
      <w:tr>
        <w:tblPrEx>
          <w:tblLayout w:type="fixed"/>
          <w:tblCellMar>
            <w:top w:w="0" w:type="dxa"/>
            <w:left w:w="108" w:type="dxa"/>
            <w:bottom w:w="0" w:type="dxa"/>
            <w:right w:w="108" w:type="dxa"/>
          </w:tblCellMar>
        </w:tblPrEx>
        <w:trPr>
          <w:trHeight w:val="300" w:hRule="atLeast"/>
        </w:trPr>
        <w:tc>
          <w:tcPr>
            <w:tcW w:w="3568"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62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06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97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054"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06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06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06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597"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公开04表</w:t>
            </w:r>
          </w:p>
        </w:tc>
      </w:tr>
      <w:tr>
        <w:tblPrEx>
          <w:tblLayout w:type="fixed"/>
          <w:tblCellMar>
            <w:top w:w="0" w:type="dxa"/>
            <w:left w:w="108" w:type="dxa"/>
            <w:bottom w:w="0" w:type="dxa"/>
            <w:right w:w="108" w:type="dxa"/>
          </w:tblCellMar>
        </w:tblPrEx>
        <w:trPr>
          <w:trHeight w:val="300" w:hRule="atLeast"/>
        </w:trPr>
        <w:tc>
          <w:tcPr>
            <w:tcW w:w="3568"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部门：黄石市黄石港区教育局（本级）</w:t>
            </w:r>
          </w:p>
        </w:tc>
        <w:tc>
          <w:tcPr>
            <w:tcW w:w="625"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066"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2970"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054"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2020年度</w:t>
            </w:r>
          </w:p>
        </w:tc>
        <w:tc>
          <w:tcPr>
            <w:tcW w:w="1066"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066"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066"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597"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Layout w:type="fixed"/>
          <w:tblCellMar>
            <w:top w:w="0" w:type="dxa"/>
            <w:left w:w="108" w:type="dxa"/>
            <w:bottom w:w="0" w:type="dxa"/>
            <w:right w:w="108" w:type="dxa"/>
          </w:tblCellMar>
        </w:tblPrEx>
        <w:trPr>
          <w:trHeight w:val="300" w:hRule="atLeast"/>
        </w:trPr>
        <w:tc>
          <w:tcPr>
            <w:tcW w:w="5259"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w:t>
            </w:r>
          </w:p>
        </w:tc>
        <w:tc>
          <w:tcPr>
            <w:tcW w:w="8819" w:type="dxa"/>
            <w:gridSpan w:val="6"/>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w:t>
            </w:r>
          </w:p>
        </w:tc>
      </w:tr>
      <w:tr>
        <w:tblPrEx>
          <w:tblLayout w:type="fixed"/>
          <w:tblCellMar>
            <w:top w:w="0" w:type="dxa"/>
            <w:left w:w="108" w:type="dxa"/>
            <w:bottom w:w="0" w:type="dxa"/>
            <w:right w:w="108" w:type="dxa"/>
          </w:tblCellMar>
        </w:tblPrEx>
        <w:trPr>
          <w:trHeight w:val="285" w:hRule="atLeast"/>
        </w:trPr>
        <w:tc>
          <w:tcPr>
            <w:tcW w:w="3568" w:type="dxa"/>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62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1066"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2970" w:type="dxa"/>
            <w:vMerge w:val="restart"/>
            <w:tcBorders>
              <w:top w:val="nil"/>
              <w:left w:val="nil"/>
              <w:bottom w:val="single" w:color="000000" w:sz="4" w:space="0"/>
              <w:right w:val="single" w:color="000000" w:sz="4" w:space="0"/>
            </w:tcBorders>
            <w:shd w:val="clear" w:color="auto" w:fill="C0C0C0"/>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054"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1066" w:type="dxa"/>
            <w:vMerge w:val="restar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066"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一般公共预算财政拨款</w:t>
            </w:r>
          </w:p>
        </w:tc>
        <w:tc>
          <w:tcPr>
            <w:tcW w:w="1066"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政府性基金预算财政拨款</w:t>
            </w:r>
          </w:p>
        </w:tc>
        <w:tc>
          <w:tcPr>
            <w:tcW w:w="1597"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国有资本经营预算财政拨款</w:t>
            </w:r>
          </w:p>
        </w:tc>
      </w:tr>
      <w:tr>
        <w:tblPrEx>
          <w:tblLayout w:type="fixed"/>
          <w:tblCellMar>
            <w:top w:w="0" w:type="dxa"/>
            <w:left w:w="108" w:type="dxa"/>
            <w:bottom w:w="0" w:type="dxa"/>
            <w:right w:w="108" w:type="dxa"/>
          </w:tblCellMar>
        </w:tblPrEx>
        <w:trPr>
          <w:trHeight w:val="600" w:hRule="atLeast"/>
        </w:trPr>
        <w:tc>
          <w:tcPr>
            <w:tcW w:w="3568" w:type="dxa"/>
            <w:vMerge w:val="continue"/>
            <w:tcBorders>
              <w:top w:val="nil"/>
              <w:left w:val="single" w:color="000000" w:sz="4" w:space="0"/>
              <w:bottom w:val="single" w:color="000000" w:sz="4" w:space="0"/>
              <w:right w:val="single" w:color="000000" w:sz="4" w:space="0"/>
            </w:tcBorders>
            <w:shd w:val="clear" w:color="auto" w:fill="C0C0C0"/>
            <w:vAlign w:val="center"/>
          </w:tcPr>
          <w:p>
            <w:pPr>
              <w:jc w:val="both"/>
              <w:rPr>
                <w:rFonts w:hint="eastAsia" w:ascii="宋体" w:hAnsi="宋体" w:eastAsia="宋体" w:cs="宋体"/>
                <w:i w:val="0"/>
                <w:iCs w:val="0"/>
                <w:color w:val="000000"/>
                <w:sz w:val="20"/>
                <w:szCs w:val="20"/>
                <w:u w:val="none"/>
              </w:rPr>
            </w:pPr>
          </w:p>
        </w:tc>
        <w:tc>
          <w:tcPr>
            <w:tcW w:w="62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06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970" w:type="dxa"/>
            <w:vMerge w:val="continue"/>
            <w:tcBorders>
              <w:top w:val="nil"/>
              <w:left w:val="nil"/>
              <w:bottom w:val="single" w:color="000000" w:sz="4" w:space="0"/>
              <w:right w:val="single" w:color="000000" w:sz="4" w:space="0"/>
            </w:tcBorders>
            <w:shd w:val="clear" w:color="auto" w:fill="C0C0C0"/>
            <w:vAlign w:val="bottom"/>
          </w:tcPr>
          <w:p>
            <w:pPr>
              <w:jc w:val="both"/>
              <w:rPr>
                <w:rFonts w:hint="eastAsia" w:ascii="宋体" w:hAnsi="宋体" w:eastAsia="宋体" w:cs="宋体"/>
                <w:i w:val="0"/>
                <w:iCs w:val="0"/>
                <w:color w:val="000000"/>
                <w:sz w:val="20"/>
                <w:szCs w:val="20"/>
                <w:u w:val="none"/>
              </w:rPr>
            </w:pPr>
          </w:p>
        </w:tc>
        <w:tc>
          <w:tcPr>
            <w:tcW w:w="1054"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066"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06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06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597"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Layout w:type="fixed"/>
          <w:tblCellMar>
            <w:top w:w="0" w:type="dxa"/>
            <w:left w:w="108" w:type="dxa"/>
            <w:bottom w:w="0" w:type="dxa"/>
            <w:right w:w="108" w:type="dxa"/>
          </w:tblCellMar>
        </w:tblPrEx>
        <w:trPr>
          <w:trHeight w:val="300" w:hRule="atLeast"/>
        </w:trPr>
        <w:tc>
          <w:tcPr>
            <w:tcW w:w="3568"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625" w:type="dxa"/>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06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970" w:type="dxa"/>
            <w:tcBorders>
              <w:top w:val="nil"/>
              <w:left w:val="nil"/>
              <w:bottom w:val="single" w:color="000000" w:sz="4" w:space="0"/>
              <w:right w:val="single" w:color="000000" w:sz="4" w:space="0"/>
            </w:tcBorders>
            <w:shd w:val="clear" w:color="auto" w:fill="C0C0C0"/>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054" w:type="dxa"/>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06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6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9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Layout w:type="fixed"/>
          <w:tblCellMar>
            <w:top w:w="0" w:type="dxa"/>
            <w:left w:w="108" w:type="dxa"/>
            <w:bottom w:w="0" w:type="dxa"/>
            <w:right w:w="108" w:type="dxa"/>
          </w:tblCellMar>
        </w:tblPrEx>
        <w:trPr>
          <w:trHeight w:val="300" w:hRule="atLeast"/>
        </w:trPr>
        <w:tc>
          <w:tcPr>
            <w:tcW w:w="3568"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w:t>
            </w:r>
          </w:p>
        </w:tc>
        <w:tc>
          <w:tcPr>
            <w:tcW w:w="6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1,727.92</w:t>
            </w:r>
          </w:p>
        </w:tc>
        <w:tc>
          <w:tcPr>
            <w:tcW w:w="297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105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3568"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w:t>
            </w:r>
          </w:p>
        </w:tc>
        <w:tc>
          <w:tcPr>
            <w:tcW w:w="6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97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105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3568"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三、国有资本经营财政拨款</w:t>
            </w:r>
          </w:p>
        </w:tc>
        <w:tc>
          <w:tcPr>
            <w:tcW w:w="6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97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105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3568"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6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97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105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3568"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6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97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105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1,727.92</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1,727.92</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3568"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6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97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105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3568"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6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97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105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3568"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6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97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105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3568"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6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97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105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3568"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6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97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105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3568"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6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97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105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3568"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6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97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105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3568"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6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97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105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3568"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6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97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105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3568"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6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97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105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3568"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6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97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105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3568"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6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97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105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3568"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6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97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105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3568"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6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97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105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3568"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6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97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105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3568"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6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97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105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3568"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6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97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105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3568"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6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97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105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3568" w:type="dxa"/>
            <w:tcBorders>
              <w:top w:val="nil"/>
              <w:left w:val="single" w:color="000000" w:sz="4" w:space="0"/>
              <w:bottom w:val="single" w:color="000000" w:sz="4" w:space="0"/>
              <w:right w:val="single" w:color="000000" w:sz="4" w:space="0"/>
            </w:tcBorders>
            <w:shd w:val="clear" w:color="auto" w:fill="C0C0C0"/>
            <w:noWrap/>
            <w:vAlign w:val="center"/>
          </w:tcPr>
          <w:p>
            <w:pPr>
              <w:jc w:val="center"/>
              <w:rPr>
                <w:rFonts w:hint="eastAsia" w:ascii="宋体" w:hAnsi="宋体" w:eastAsia="宋体" w:cs="宋体"/>
                <w:b/>
                <w:bCs/>
                <w:i w:val="0"/>
                <w:iCs w:val="0"/>
                <w:color w:val="000000"/>
                <w:sz w:val="20"/>
                <w:szCs w:val="20"/>
                <w:u w:val="none"/>
              </w:rPr>
            </w:pPr>
          </w:p>
        </w:tc>
        <w:tc>
          <w:tcPr>
            <w:tcW w:w="6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6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97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105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3568"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6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97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105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3568"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6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97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105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3568"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6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1,727.92</w:t>
            </w:r>
          </w:p>
        </w:tc>
        <w:tc>
          <w:tcPr>
            <w:tcW w:w="297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105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1,727.92</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1,727.92</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3568"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年初财政拨款结转和结余</w:t>
            </w:r>
          </w:p>
        </w:tc>
        <w:tc>
          <w:tcPr>
            <w:tcW w:w="6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97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年末财政拨款结转和结余</w:t>
            </w:r>
          </w:p>
        </w:tc>
        <w:tc>
          <w:tcPr>
            <w:tcW w:w="105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3568"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一般公共预算财政拨款</w:t>
            </w:r>
          </w:p>
        </w:tc>
        <w:tc>
          <w:tcPr>
            <w:tcW w:w="6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970"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105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06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06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06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59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Layout w:type="fixed"/>
          <w:tblCellMar>
            <w:top w:w="0" w:type="dxa"/>
            <w:left w:w="108" w:type="dxa"/>
            <w:bottom w:w="0" w:type="dxa"/>
            <w:right w:w="108" w:type="dxa"/>
          </w:tblCellMar>
        </w:tblPrEx>
        <w:trPr>
          <w:trHeight w:val="300" w:hRule="atLeast"/>
        </w:trPr>
        <w:tc>
          <w:tcPr>
            <w:tcW w:w="3568"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政府性基金预算财政拨款</w:t>
            </w:r>
          </w:p>
        </w:tc>
        <w:tc>
          <w:tcPr>
            <w:tcW w:w="6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970"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105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06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06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06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59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Layout w:type="fixed"/>
          <w:tblCellMar>
            <w:top w:w="0" w:type="dxa"/>
            <w:left w:w="108" w:type="dxa"/>
            <w:bottom w:w="0" w:type="dxa"/>
            <w:right w:w="108" w:type="dxa"/>
          </w:tblCellMar>
        </w:tblPrEx>
        <w:trPr>
          <w:trHeight w:val="300" w:hRule="atLeast"/>
        </w:trPr>
        <w:tc>
          <w:tcPr>
            <w:tcW w:w="3568"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国有资本经营预算财政拨款</w:t>
            </w:r>
          </w:p>
        </w:tc>
        <w:tc>
          <w:tcPr>
            <w:tcW w:w="6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970"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105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06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06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06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59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Layout w:type="fixed"/>
          <w:tblCellMar>
            <w:top w:w="0" w:type="dxa"/>
            <w:left w:w="108" w:type="dxa"/>
            <w:bottom w:w="0" w:type="dxa"/>
            <w:right w:w="108" w:type="dxa"/>
          </w:tblCellMar>
        </w:tblPrEx>
        <w:trPr>
          <w:trHeight w:val="300" w:hRule="atLeast"/>
        </w:trPr>
        <w:tc>
          <w:tcPr>
            <w:tcW w:w="3568"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625" w:type="dxa"/>
            <w:tcBorders>
              <w:top w:val="nil"/>
              <w:left w:val="nil"/>
              <w:bottom w:val="single" w:color="000000" w:sz="12"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1,727.92</w:t>
            </w:r>
          </w:p>
        </w:tc>
        <w:tc>
          <w:tcPr>
            <w:tcW w:w="297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105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1,727.92</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1,727.92</w:t>
            </w:r>
          </w:p>
        </w:tc>
        <w:tc>
          <w:tcPr>
            <w:tcW w:w="106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9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12481" w:type="dxa"/>
            <w:gridSpan w:val="8"/>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注：本表反映部门本年度一般公共预算财政拨款、政府性基金预算财政拨款和国有资本经营预算财政拨款的总收支和年末结转结余情况。</w:t>
            </w:r>
          </w:p>
        </w:tc>
        <w:tc>
          <w:tcPr>
            <w:tcW w:w="1597"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20"/>
                <w:szCs w:val="20"/>
                <w:u w:val="none"/>
              </w:rPr>
            </w:pPr>
          </w:p>
        </w:tc>
      </w:tr>
    </w:tbl>
    <w:p>
      <w:pPr>
        <w:widowControl/>
        <w:shd w:val="clear" w:color="auto" w:fill="FFFFFF"/>
        <w:jc w:val="left"/>
        <w:rPr>
          <w:rFonts w:ascii="宋体" w:hAnsi="宋体" w:cs="宋体"/>
          <w:color w:val="333333"/>
          <w:kern w:val="0"/>
          <w:sz w:val="24"/>
        </w:rPr>
      </w:pPr>
    </w:p>
    <w:p>
      <w:pPr>
        <w:widowControl/>
        <w:shd w:val="clear" w:color="auto" w:fill="FFFFFF"/>
        <w:jc w:val="left"/>
        <w:rPr>
          <w:rFonts w:ascii="宋体" w:hAnsi="宋体" w:cs="宋体"/>
          <w:color w:val="333333"/>
          <w:kern w:val="0"/>
          <w:sz w:val="24"/>
        </w:rPr>
      </w:pPr>
    </w:p>
    <w:p>
      <w:pPr>
        <w:widowControl/>
        <w:shd w:val="clear" w:color="auto" w:fill="FFFFFF"/>
        <w:jc w:val="left"/>
        <w:rPr>
          <w:rFonts w:ascii="宋体" w:hAnsi="宋体" w:cs="宋体"/>
          <w:color w:val="333333"/>
          <w:kern w:val="0"/>
          <w:sz w:val="24"/>
        </w:rPr>
      </w:pPr>
    </w:p>
    <w:p>
      <w:pPr>
        <w:widowControl/>
        <w:shd w:val="clear" w:color="auto" w:fill="FFFFFF"/>
        <w:jc w:val="left"/>
        <w:rPr>
          <w:rFonts w:ascii="宋体" w:hAnsi="宋体" w:cs="宋体"/>
          <w:color w:val="333333"/>
          <w:kern w:val="0"/>
          <w:sz w:val="24"/>
        </w:rPr>
      </w:pPr>
    </w:p>
    <w:p>
      <w:pPr>
        <w:widowControl/>
        <w:shd w:val="clear" w:color="auto" w:fill="FFFFFF"/>
        <w:jc w:val="left"/>
        <w:rPr>
          <w:rFonts w:ascii="宋体" w:hAnsi="宋体" w:cs="宋体"/>
          <w:color w:val="333333"/>
          <w:kern w:val="0"/>
          <w:sz w:val="24"/>
        </w:rPr>
      </w:pPr>
    </w:p>
    <w:tbl>
      <w:tblPr>
        <w:tblStyle w:val="8"/>
        <w:tblW w:w="10218" w:type="dxa"/>
        <w:tblInd w:w="96" w:type="dxa"/>
        <w:shd w:val="clear" w:color="auto" w:fill="auto"/>
        <w:tblLayout w:type="fixed"/>
        <w:tblCellMar>
          <w:top w:w="0" w:type="dxa"/>
          <w:left w:w="108" w:type="dxa"/>
          <w:bottom w:w="0" w:type="dxa"/>
          <w:right w:w="108" w:type="dxa"/>
        </w:tblCellMar>
      </w:tblPr>
      <w:tblGrid>
        <w:gridCol w:w="3956"/>
        <w:gridCol w:w="222"/>
        <w:gridCol w:w="222"/>
        <w:gridCol w:w="2016"/>
        <w:gridCol w:w="1023"/>
        <w:gridCol w:w="1023"/>
        <w:gridCol w:w="1756"/>
      </w:tblGrid>
      <w:tr>
        <w:tblPrEx>
          <w:shd w:val="clear" w:color="auto" w:fill="auto"/>
          <w:tblLayout w:type="fixed"/>
          <w:tblCellMar>
            <w:top w:w="0" w:type="dxa"/>
            <w:left w:w="108" w:type="dxa"/>
            <w:bottom w:w="0" w:type="dxa"/>
            <w:right w:w="108" w:type="dxa"/>
          </w:tblCellMar>
        </w:tblPrEx>
        <w:trPr>
          <w:trHeight w:val="375" w:hRule="atLeast"/>
        </w:trPr>
        <w:tc>
          <w:tcPr>
            <w:tcW w:w="10218" w:type="dxa"/>
            <w:gridSpan w:val="7"/>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tblPrEx>
          <w:shd w:val="clear" w:color="auto" w:fill="auto"/>
          <w:tblLayout w:type="fixed"/>
          <w:tblCellMar>
            <w:top w:w="0" w:type="dxa"/>
            <w:left w:w="108" w:type="dxa"/>
            <w:bottom w:w="0" w:type="dxa"/>
            <w:right w:w="108" w:type="dxa"/>
          </w:tblCellMar>
        </w:tblPrEx>
        <w:trPr>
          <w:trHeight w:val="300" w:hRule="atLeast"/>
        </w:trPr>
        <w:tc>
          <w:tcPr>
            <w:tcW w:w="395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22"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22"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01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023"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023"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756"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公开05表</w:t>
            </w:r>
          </w:p>
        </w:tc>
      </w:tr>
      <w:tr>
        <w:tblPrEx>
          <w:shd w:val="clear" w:color="auto" w:fill="auto"/>
          <w:tblLayout w:type="fixed"/>
          <w:tblCellMar>
            <w:top w:w="0" w:type="dxa"/>
            <w:left w:w="108" w:type="dxa"/>
            <w:bottom w:w="0" w:type="dxa"/>
            <w:right w:w="108" w:type="dxa"/>
          </w:tblCellMar>
        </w:tblPrEx>
        <w:trPr>
          <w:trHeight w:val="300" w:hRule="atLeast"/>
        </w:trPr>
        <w:tc>
          <w:tcPr>
            <w:tcW w:w="3956"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部门：黄石市黄石港区教育局（本级）</w:t>
            </w:r>
          </w:p>
        </w:tc>
        <w:tc>
          <w:tcPr>
            <w:tcW w:w="222"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222"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2016"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2020年度</w:t>
            </w:r>
          </w:p>
        </w:tc>
        <w:tc>
          <w:tcPr>
            <w:tcW w:w="1023"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023"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756"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shd w:val="clear" w:color="auto" w:fill="auto"/>
          <w:tblLayout w:type="fixed"/>
          <w:tblCellMar>
            <w:top w:w="0" w:type="dxa"/>
            <w:left w:w="108" w:type="dxa"/>
            <w:bottom w:w="0" w:type="dxa"/>
            <w:right w:w="108" w:type="dxa"/>
          </w:tblCellMar>
        </w:tblPrEx>
        <w:trPr>
          <w:trHeight w:val="300" w:hRule="atLeast"/>
        </w:trPr>
        <w:tc>
          <w:tcPr>
            <w:tcW w:w="6416"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3802" w:type="dxa"/>
            <w:gridSpan w:val="3"/>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tblPrEx>
          <w:shd w:val="clear" w:color="auto" w:fill="auto"/>
          <w:tblLayout w:type="fixed"/>
          <w:tblCellMar>
            <w:top w:w="0" w:type="dxa"/>
            <w:left w:w="108" w:type="dxa"/>
            <w:bottom w:w="0" w:type="dxa"/>
            <w:right w:w="108" w:type="dxa"/>
          </w:tblCellMar>
        </w:tblPrEx>
        <w:trPr>
          <w:trHeight w:val="300" w:hRule="atLeast"/>
        </w:trPr>
        <w:tc>
          <w:tcPr>
            <w:tcW w:w="4400"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2016" w:type="dxa"/>
            <w:vMerge w:val="restar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023"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023"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1756"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tblPrEx>
          <w:shd w:val="clear" w:color="auto" w:fill="auto"/>
          <w:tblLayout w:type="fixed"/>
          <w:tblCellMar>
            <w:top w:w="0" w:type="dxa"/>
            <w:left w:w="108" w:type="dxa"/>
            <w:bottom w:w="0" w:type="dxa"/>
            <w:right w:w="108" w:type="dxa"/>
          </w:tblCellMar>
        </w:tblPrEx>
        <w:trPr>
          <w:trHeight w:val="270" w:hRule="atLeast"/>
        </w:trPr>
        <w:tc>
          <w:tcPr>
            <w:tcW w:w="4400"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016"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023"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023"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75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shd w:val="clear" w:color="auto" w:fill="auto"/>
          <w:tblLayout w:type="fixed"/>
          <w:tblCellMar>
            <w:top w:w="0" w:type="dxa"/>
            <w:left w:w="108" w:type="dxa"/>
            <w:bottom w:w="0" w:type="dxa"/>
            <w:right w:w="108" w:type="dxa"/>
          </w:tblCellMar>
        </w:tblPrEx>
        <w:trPr>
          <w:trHeight w:val="300" w:hRule="atLeast"/>
        </w:trPr>
        <w:tc>
          <w:tcPr>
            <w:tcW w:w="4400"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016"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023"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023"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75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shd w:val="clear" w:color="auto" w:fill="auto"/>
          <w:tblLayout w:type="fixed"/>
          <w:tblCellMar>
            <w:top w:w="0" w:type="dxa"/>
            <w:left w:w="108" w:type="dxa"/>
            <w:bottom w:w="0" w:type="dxa"/>
            <w:right w:w="108" w:type="dxa"/>
          </w:tblCellMar>
        </w:tblPrEx>
        <w:trPr>
          <w:trHeight w:val="300" w:hRule="atLeast"/>
        </w:trPr>
        <w:tc>
          <w:tcPr>
            <w:tcW w:w="6416"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02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shd w:val="clear" w:color="auto" w:fill="auto"/>
          <w:tblLayout w:type="fixed"/>
          <w:tblCellMar>
            <w:top w:w="0" w:type="dxa"/>
            <w:left w:w="108" w:type="dxa"/>
            <w:bottom w:w="0" w:type="dxa"/>
            <w:right w:w="108" w:type="dxa"/>
          </w:tblCellMar>
        </w:tblPrEx>
        <w:trPr>
          <w:trHeight w:val="300" w:hRule="atLeast"/>
        </w:trPr>
        <w:tc>
          <w:tcPr>
            <w:tcW w:w="6416"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02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1,727.92</w:t>
            </w:r>
          </w:p>
        </w:tc>
        <w:tc>
          <w:tcPr>
            <w:tcW w:w="102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1,727.92</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440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w:t>
            </w:r>
          </w:p>
        </w:tc>
        <w:tc>
          <w:tcPr>
            <w:tcW w:w="20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教育支出</w:t>
            </w:r>
          </w:p>
        </w:tc>
        <w:tc>
          <w:tcPr>
            <w:tcW w:w="102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1,727.92</w:t>
            </w:r>
          </w:p>
        </w:tc>
        <w:tc>
          <w:tcPr>
            <w:tcW w:w="102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1,727.92</w:t>
            </w:r>
          </w:p>
        </w:tc>
        <w:tc>
          <w:tcPr>
            <w:tcW w:w="17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440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20501</w:t>
            </w:r>
          </w:p>
        </w:tc>
        <w:tc>
          <w:tcPr>
            <w:tcW w:w="20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教育管理事务</w:t>
            </w:r>
          </w:p>
        </w:tc>
        <w:tc>
          <w:tcPr>
            <w:tcW w:w="102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1,556.70</w:t>
            </w:r>
          </w:p>
        </w:tc>
        <w:tc>
          <w:tcPr>
            <w:tcW w:w="102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1,556.70</w:t>
            </w:r>
          </w:p>
        </w:tc>
        <w:tc>
          <w:tcPr>
            <w:tcW w:w="17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440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2050101</w:t>
            </w:r>
          </w:p>
        </w:tc>
        <w:tc>
          <w:tcPr>
            <w:tcW w:w="20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02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1,556.70</w:t>
            </w:r>
          </w:p>
        </w:tc>
        <w:tc>
          <w:tcPr>
            <w:tcW w:w="102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1,556.70</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440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20502</w:t>
            </w:r>
          </w:p>
        </w:tc>
        <w:tc>
          <w:tcPr>
            <w:tcW w:w="20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普通教育</w:t>
            </w:r>
          </w:p>
        </w:tc>
        <w:tc>
          <w:tcPr>
            <w:tcW w:w="102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171.22</w:t>
            </w:r>
          </w:p>
        </w:tc>
        <w:tc>
          <w:tcPr>
            <w:tcW w:w="102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171.22</w:t>
            </w:r>
          </w:p>
        </w:tc>
        <w:tc>
          <w:tcPr>
            <w:tcW w:w="17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440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2050201</w:t>
            </w:r>
          </w:p>
        </w:tc>
        <w:tc>
          <w:tcPr>
            <w:tcW w:w="20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学前教育</w:t>
            </w:r>
          </w:p>
        </w:tc>
        <w:tc>
          <w:tcPr>
            <w:tcW w:w="102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142.74</w:t>
            </w:r>
          </w:p>
        </w:tc>
        <w:tc>
          <w:tcPr>
            <w:tcW w:w="102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142.74</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440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2050202</w:t>
            </w:r>
          </w:p>
        </w:tc>
        <w:tc>
          <w:tcPr>
            <w:tcW w:w="20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小学教育</w:t>
            </w:r>
          </w:p>
        </w:tc>
        <w:tc>
          <w:tcPr>
            <w:tcW w:w="102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11.90</w:t>
            </w:r>
          </w:p>
        </w:tc>
        <w:tc>
          <w:tcPr>
            <w:tcW w:w="102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11.90</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440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2050299</w:t>
            </w:r>
          </w:p>
        </w:tc>
        <w:tc>
          <w:tcPr>
            <w:tcW w:w="20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其他普通教育支出</w:t>
            </w:r>
          </w:p>
        </w:tc>
        <w:tc>
          <w:tcPr>
            <w:tcW w:w="102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16.58</w:t>
            </w:r>
          </w:p>
        </w:tc>
        <w:tc>
          <w:tcPr>
            <w:tcW w:w="102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16.58</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10218" w:type="dxa"/>
            <w:gridSpan w:val="7"/>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注：本表反映部门本年度一般公共预算财政拨款支出情况。</w:t>
            </w:r>
          </w:p>
        </w:tc>
      </w:tr>
    </w:tbl>
    <w:p>
      <w:pPr>
        <w:widowControl/>
        <w:shd w:val="clear" w:color="auto" w:fill="FFFFFF"/>
        <w:jc w:val="left"/>
        <w:rPr>
          <w:rFonts w:ascii="宋体" w:hAnsi="宋体" w:cs="宋体"/>
          <w:color w:val="333333"/>
          <w:kern w:val="0"/>
          <w:sz w:val="24"/>
        </w:rPr>
      </w:pPr>
    </w:p>
    <w:p>
      <w:pPr>
        <w:widowControl/>
        <w:shd w:val="clear" w:color="auto" w:fill="FFFFFF"/>
        <w:jc w:val="left"/>
        <w:rPr>
          <w:rFonts w:ascii="宋体" w:hAnsi="宋体" w:cs="宋体"/>
          <w:color w:val="333333"/>
          <w:kern w:val="0"/>
          <w:sz w:val="24"/>
        </w:rPr>
      </w:pPr>
    </w:p>
    <w:p>
      <w:pPr>
        <w:widowControl/>
        <w:shd w:val="clear" w:color="auto" w:fill="FFFFFF"/>
        <w:jc w:val="left"/>
        <w:rPr>
          <w:rFonts w:ascii="宋体" w:hAnsi="宋体" w:cs="宋体"/>
          <w:color w:val="333333"/>
          <w:kern w:val="0"/>
          <w:sz w:val="24"/>
        </w:rPr>
      </w:pPr>
    </w:p>
    <w:p>
      <w:pPr>
        <w:widowControl/>
        <w:shd w:val="clear" w:color="auto" w:fill="FFFFFF"/>
        <w:jc w:val="left"/>
        <w:rPr>
          <w:rFonts w:ascii="宋体" w:hAnsi="宋体" w:cs="宋体"/>
          <w:color w:val="333333"/>
          <w:kern w:val="0"/>
          <w:sz w:val="24"/>
        </w:rPr>
      </w:pPr>
    </w:p>
    <w:p>
      <w:pPr>
        <w:widowControl/>
        <w:shd w:val="clear" w:color="auto" w:fill="FFFFFF"/>
        <w:jc w:val="left"/>
        <w:rPr>
          <w:rFonts w:ascii="宋体" w:hAnsi="宋体" w:cs="宋体"/>
          <w:color w:val="333333"/>
          <w:kern w:val="0"/>
          <w:sz w:val="24"/>
        </w:rPr>
      </w:pPr>
    </w:p>
    <w:p>
      <w:pPr>
        <w:widowControl/>
        <w:shd w:val="clear" w:color="auto" w:fill="FFFFFF"/>
        <w:jc w:val="left"/>
        <w:rPr>
          <w:rFonts w:ascii="宋体" w:hAnsi="宋体" w:cs="宋体"/>
          <w:color w:val="333333"/>
          <w:kern w:val="0"/>
          <w:sz w:val="24"/>
        </w:rPr>
      </w:pPr>
    </w:p>
    <w:p>
      <w:pPr>
        <w:widowControl/>
        <w:shd w:val="clear" w:color="auto" w:fill="FFFFFF"/>
        <w:jc w:val="left"/>
        <w:rPr>
          <w:rFonts w:ascii="宋体" w:hAnsi="宋体" w:cs="宋体"/>
          <w:color w:val="333333"/>
          <w:kern w:val="0"/>
          <w:sz w:val="24"/>
        </w:rPr>
      </w:pPr>
    </w:p>
    <w:p>
      <w:pPr>
        <w:widowControl/>
        <w:shd w:val="clear" w:color="auto" w:fill="FFFFFF"/>
        <w:jc w:val="left"/>
        <w:rPr>
          <w:rFonts w:ascii="宋体" w:hAnsi="宋体" w:cs="宋体"/>
          <w:color w:val="333333"/>
          <w:kern w:val="0"/>
          <w:sz w:val="24"/>
        </w:rPr>
      </w:pPr>
    </w:p>
    <w:tbl>
      <w:tblPr>
        <w:tblStyle w:val="8"/>
        <w:tblW w:w="14207" w:type="dxa"/>
        <w:tblInd w:w="0" w:type="dxa"/>
        <w:shd w:val="clear" w:color="auto" w:fill="auto"/>
        <w:tblLayout w:type="fixed"/>
        <w:tblCellMar>
          <w:top w:w="0" w:type="dxa"/>
          <w:left w:w="0" w:type="dxa"/>
          <w:bottom w:w="0" w:type="dxa"/>
          <w:right w:w="0" w:type="dxa"/>
        </w:tblCellMar>
      </w:tblPr>
      <w:tblGrid>
        <w:gridCol w:w="14207"/>
      </w:tblGrid>
      <w:tr>
        <w:tblPrEx>
          <w:tblLayout w:type="fixed"/>
          <w:tblCellMar>
            <w:top w:w="0" w:type="dxa"/>
            <w:left w:w="0" w:type="dxa"/>
            <w:bottom w:w="0" w:type="dxa"/>
            <w:right w:w="0" w:type="dxa"/>
          </w:tblCellMar>
        </w:tblPrEx>
        <w:trPr>
          <w:trHeight w:val="375" w:hRule="atLeast"/>
        </w:trPr>
        <w:tc>
          <w:tcPr>
            <w:tcW w:w="14207"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一般公共预算财政拨款基本支出决算表</w:t>
            </w:r>
          </w:p>
        </w:tc>
      </w:tr>
    </w:tbl>
    <w:p>
      <w:pPr>
        <w:widowControl/>
        <w:shd w:val="clear" w:color="auto" w:fill="FFFFFF"/>
        <w:jc w:val="left"/>
        <w:rPr>
          <w:rFonts w:ascii="宋体" w:hAnsi="宋体" w:cs="宋体"/>
          <w:color w:val="333333"/>
          <w:kern w:val="0"/>
          <w:sz w:val="24"/>
        </w:rPr>
      </w:pPr>
    </w:p>
    <w:p>
      <w:pPr>
        <w:widowControl/>
        <w:shd w:val="clear" w:color="auto" w:fill="FFFFFF"/>
        <w:jc w:val="left"/>
        <w:rPr>
          <w:rFonts w:ascii="宋体" w:hAnsi="宋体" w:cs="宋体"/>
          <w:color w:val="333333"/>
          <w:kern w:val="0"/>
          <w:sz w:val="24"/>
        </w:rPr>
      </w:pPr>
    </w:p>
    <w:p>
      <w:pPr>
        <w:widowControl/>
        <w:shd w:val="clear" w:color="auto" w:fill="FFFFFF"/>
        <w:jc w:val="left"/>
        <w:rPr>
          <w:rFonts w:ascii="宋体" w:hAnsi="宋体" w:cs="宋体"/>
          <w:color w:val="333333"/>
          <w:kern w:val="0"/>
          <w:sz w:val="24"/>
        </w:rPr>
      </w:pPr>
    </w:p>
    <w:p>
      <w:pPr>
        <w:widowControl/>
        <w:shd w:val="clear" w:color="auto" w:fill="FFFFFF"/>
        <w:jc w:val="left"/>
        <w:rPr>
          <w:rFonts w:hint="default" w:ascii="宋体" w:hAnsi="宋体" w:cs="宋体" w:eastAsiaTheme="minorEastAsia"/>
          <w:color w:val="333333"/>
          <w:kern w:val="0"/>
          <w:sz w:val="24"/>
          <w:lang w:val="en-US" w:eastAsia="zh-CN"/>
        </w:rPr>
      </w:pPr>
      <w:r>
        <w:rPr>
          <w:rFonts w:hint="eastAsia" w:ascii="宋体" w:hAnsi="宋体" w:cs="宋体"/>
          <w:color w:val="333333"/>
          <w:kern w:val="0"/>
          <w:sz w:val="24"/>
          <w:lang w:val="en-US" w:eastAsia="zh-CN"/>
        </w:rPr>
        <w:t xml:space="preserve">                                                                                                           公开06表</w:t>
      </w:r>
    </w:p>
    <w:p>
      <w:pPr>
        <w:widowControl/>
        <w:shd w:val="clear" w:color="auto" w:fill="FFFFFF"/>
        <w:jc w:val="left"/>
        <w:rPr>
          <w:rFonts w:ascii="宋体" w:hAnsi="宋体" w:cs="宋体"/>
          <w:color w:val="333333"/>
          <w:kern w:val="0"/>
          <w:sz w:val="21"/>
          <w:szCs w:val="21"/>
        </w:rPr>
      </w:pPr>
    </w:p>
    <w:p>
      <w:pPr>
        <w:widowControl/>
        <w:shd w:val="clear" w:color="auto" w:fill="FFFFFF"/>
        <w:tabs>
          <w:tab w:val="left" w:pos="13054"/>
        </w:tabs>
        <w:jc w:val="left"/>
        <w:rPr>
          <w:rFonts w:hint="eastAsia" w:ascii="宋体" w:hAnsi="宋体" w:cs="宋体" w:eastAsiaTheme="minorEastAsia"/>
          <w:color w:val="333333"/>
          <w:kern w:val="0"/>
          <w:sz w:val="21"/>
          <w:szCs w:val="21"/>
          <w:lang w:eastAsia="zh-CN"/>
        </w:rPr>
      </w:pPr>
      <w:r>
        <w:rPr>
          <w:rFonts w:hint="eastAsia" w:ascii="宋体" w:hAnsi="宋体" w:cs="宋体"/>
          <w:color w:val="333333"/>
          <w:kern w:val="0"/>
          <w:sz w:val="21"/>
          <w:szCs w:val="21"/>
        </w:rPr>
        <w:t>部门：黄石市黄石港区教育局（本级）</w:t>
      </w:r>
      <w:r>
        <w:rPr>
          <w:rFonts w:hint="eastAsia" w:ascii="宋体" w:hAnsi="宋体" w:cs="宋体"/>
          <w:color w:val="333333"/>
          <w:kern w:val="0"/>
          <w:sz w:val="21"/>
          <w:szCs w:val="21"/>
          <w:lang w:val="en-US" w:eastAsia="zh-CN"/>
        </w:rPr>
        <w:t xml:space="preserve">                                                                                     </w:t>
      </w:r>
      <w:r>
        <w:rPr>
          <w:rFonts w:hint="eastAsia" w:ascii="宋体" w:hAnsi="宋体" w:cs="宋体"/>
          <w:color w:val="333333"/>
          <w:kern w:val="0"/>
          <w:sz w:val="21"/>
          <w:szCs w:val="21"/>
          <w:lang w:eastAsia="zh-CN"/>
        </w:rPr>
        <w:t>金额单位：万元</w:t>
      </w:r>
    </w:p>
    <w:tbl>
      <w:tblPr>
        <w:tblStyle w:val="8"/>
        <w:tblW w:w="14208" w:type="dxa"/>
        <w:tblInd w:w="0" w:type="dxa"/>
        <w:shd w:val="clear" w:color="auto" w:fill="auto"/>
        <w:tblLayout w:type="fixed"/>
        <w:tblCellMar>
          <w:top w:w="0" w:type="dxa"/>
          <w:left w:w="0" w:type="dxa"/>
          <w:bottom w:w="0" w:type="dxa"/>
          <w:right w:w="0" w:type="dxa"/>
        </w:tblCellMar>
      </w:tblPr>
      <w:tblGrid>
        <w:gridCol w:w="733"/>
        <w:gridCol w:w="3518"/>
        <w:gridCol w:w="870"/>
        <w:gridCol w:w="589"/>
        <w:gridCol w:w="2234"/>
        <w:gridCol w:w="921"/>
        <w:gridCol w:w="589"/>
        <w:gridCol w:w="3830"/>
        <w:gridCol w:w="924"/>
      </w:tblGrid>
      <w:tr>
        <w:tblPrEx>
          <w:tblLayout w:type="fixed"/>
          <w:tblCellMar>
            <w:top w:w="0" w:type="dxa"/>
            <w:left w:w="0" w:type="dxa"/>
            <w:bottom w:w="0" w:type="dxa"/>
            <w:right w:w="0" w:type="dxa"/>
          </w:tblCellMar>
        </w:tblPrEx>
        <w:trPr>
          <w:trHeight w:val="300" w:hRule="atLeast"/>
        </w:trPr>
        <w:tc>
          <w:tcPr>
            <w:tcW w:w="5121"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w:t>
            </w:r>
          </w:p>
        </w:tc>
        <w:tc>
          <w:tcPr>
            <w:tcW w:w="9087" w:type="dxa"/>
            <w:gridSpan w:val="6"/>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w:t>
            </w:r>
          </w:p>
        </w:tc>
      </w:tr>
      <w:tr>
        <w:tblPrEx>
          <w:tblLayout w:type="fixed"/>
          <w:tblCellMar>
            <w:top w:w="0" w:type="dxa"/>
            <w:left w:w="0" w:type="dxa"/>
            <w:bottom w:w="0" w:type="dxa"/>
            <w:right w:w="0" w:type="dxa"/>
          </w:tblCellMar>
        </w:tblPrEx>
        <w:trPr>
          <w:trHeight w:val="300" w:hRule="atLeast"/>
        </w:trPr>
        <w:tc>
          <w:tcPr>
            <w:tcW w:w="733"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351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87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58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23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92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58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383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92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Layout w:type="fixed"/>
          <w:tblCellMar>
            <w:top w:w="0" w:type="dxa"/>
            <w:left w:w="0" w:type="dxa"/>
            <w:bottom w:w="0" w:type="dxa"/>
            <w:right w:w="0" w:type="dxa"/>
          </w:tblCellMar>
        </w:tblPrEx>
        <w:trPr>
          <w:trHeight w:val="300" w:hRule="atLeast"/>
        </w:trPr>
        <w:tc>
          <w:tcPr>
            <w:tcW w:w="733"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1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3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3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35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105.35</w:t>
            </w:r>
          </w:p>
        </w:tc>
        <w:tc>
          <w:tcPr>
            <w:tcW w:w="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22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1,334.01</w:t>
            </w:r>
          </w:p>
        </w:tc>
        <w:tc>
          <w:tcPr>
            <w:tcW w:w="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9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35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18.73</w:t>
            </w:r>
          </w:p>
        </w:tc>
        <w:tc>
          <w:tcPr>
            <w:tcW w:w="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22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2.59</w:t>
            </w:r>
          </w:p>
        </w:tc>
        <w:tc>
          <w:tcPr>
            <w:tcW w:w="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9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35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30.73</w:t>
            </w:r>
          </w:p>
        </w:tc>
        <w:tc>
          <w:tcPr>
            <w:tcW w:w="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22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9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35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w:t>
            </w:r>
          </w:p>
        </w:tc>
        <w:tc>
          <w:tcPr>
            <w:tcW w:w="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22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9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35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22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9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35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5.01</w:t>
            </w:r>
          </w:p>
        </w:tc>
        <w:tc>
          <w:tcPr>
            <w:tcW w:w="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22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9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35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w:t>
            </w:r>
          </w:p>
        </w:tc>
        <w:tc>
          <w:tcPr>
            <w:tcW w:w="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22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9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35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2.91</w:t>
            </w:r>
          </w:p>
        </w:tc>
        <w:tc>
          <w:tcPr>
            <w:tcW w:w="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22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w:t>
            </w:r>
          </w:p>
        </w:tc>
        <w:tc>
          <w:tcPr>
            <w:tcW w:w="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9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35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14.71</w:t>
            </w:r>
          </w:p>
        </w:tc>
        <w:tc>
          <w:tcPr>
            <w:tcW w:w="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22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9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35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18.65</w:t>
            </w:r>
          </w:p>
        </w:tc>
        <w:tc>
          <w:tcPr>
            <w:tcW w:w="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22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9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35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w:t>
            </w:r>
          </w:p>
        </w:tc>
        <w:tc>
          <w:tcPr>
            <w:tcW w:w="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22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w:t>
            </w:r>
          </w:p>
        </w:tc>
        <w:tc>
          <w:tcPr>
            <w:tcW w:w="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9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35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6.80</w:t>
            </w:r>
          </w:p>
        </w:tc>
        <w:tc>
          <w:tcPr>
            <w:tcW w:w="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22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9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35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22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9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35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22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9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35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288.56</w:t>
            </w:r>
          </w:p>
        </w:tc>
        <w:tc>
          <w:tcPr>
            <w:tcW w:w="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22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9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35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22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9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35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287.55</w:t>
            </w:r>
          </w:p>
        </w:tc>
        <w:tc>
          <w:tcPr>
            <w:tcW w:w="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22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9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35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22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9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35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22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9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35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w:t>
            </w:r>
          </w:p>
        </w:tc>
        <w:tc>
          <w:tcPr>
            <w:tcW w:w="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22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9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35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22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10.68</w:t>
            </w:r>
          </w:p>
        </w:tc>
        <w:tc>
          <w:tcPr>
            <w:tcW w:w="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9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35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22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1,309.41</w:t>
            </w:r>
          </w:p>
        </w:tc>
        <w:tc>
          <w:tcPr>
            <w:tcW w:w="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39906</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赠与</w:t>
            </w:r>
          </w:p>
        </w:tc>
        <w:tc>
          <w:tcPr>
            <w:tcW w:w="9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35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22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w:t>
            </w:r>
          </w:p>
        </w:tc>
        <w:tc>
          <w:tcPr>
            <w:tcW w:w="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9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35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22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5.60</w:t>
            </w:r>
          </w:p>
        </w:tc>
        <w:tc>
          <w:tcPr>
            <w:tcW w:w="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9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35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22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9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30311</w:t>
            </w:r>
          </w:p>
        </w:tc>
        <w:tc>
          <w:tcPr>
            <w:tcW w:w="35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代缴社会保险费</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22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35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22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5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22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w:t>
            </w:r>
          </w:p>
        </w:tc>
        <w:tc>
          <w:tcPr>
            <w:tcW w:w="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251"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8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393.91</w:t>
            </w:r>
          </w:p>
        </w:tc>
        <w:tc>
          <w:tcPr>
            <w:tcW w:w="8163" w:type="dxa"/>
            <w:gridSpan w:val="5"/>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9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1,334.01</w:t>
            </w:r>
          </w:p>
        </w:tc>
      </w:tr>
      <w:tr>
        <w:tblPrEx>
          <w:tblLayout w:type="fixed"/>
          <w:tblCellMar>
            <w:top w:w="0" w:type="dxa"/>
            <w:left w:w="0" w:type="dxa"/>
            <w:bottom w:w="0" w:type="dxa"/>
            <w:right w:w="0" w:type="dxa"/>
          </w:tblCellMar>
        </w:tblPrEx>
        <w:trPr>
          <w:trHeight w:val="300" w:hRule="atLeast"/>
        </w:trPr>
        <w:tc>
          <w:tcPr>
            <w:tcW w:w="14208" w:type="dxa"/>
            <w:gridSpan w:val="9"/>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注：本表反映部门本年度一般公共预算财政拨款基本支出明细情况。</w:t>
            </w:r>
          </w:p>
        </w:tc>
      </w:tr>
    </w:tbl>
    <w:p>
      <w:pPr>
        <w:widowControl/>
        <w:shd w:val="clear" w:color="auto" w:fill="FFFFFF"/>
        <w:jc w:val="left"/>
        <w:rPr>
          <w:rFonts w:ascii="宋体" w:hAnsi="宋体" w:cs="宋体"/>
          <w:color w:val="333333"/>
          <w:kern w:val="0"/>
          <w:sz w:val="24"/>
        </w:rPr>
      </w:pPr>
    </w:p>
    <w:p>
      <w:pPr>
        <w:widowControl/>
        <w:shd w:val="clear" w:color="auto" w:fill="FFFFFF"/>
        <w:jc w:val="left"/>
        <w:rPr>
          <w:rFonts w:ascii="宋体" w:hAnsi="宋体" w:cs="宋体"/>
          <w:color w:val="333333"/>
          <w:kern w:val="0"/>
          <w:sz w:val="24"/>
        </w:rPr>
      </w:pPr>
    </w:p>
    <w:p>
      <w:pPr>
        <w:widowControl/>
        <w:shd w:val="clear" w:color="auto" w:fill="FFFFFF"/>
        <w:jc w:val="left"/>
        <w:rPr>
          <w:rFonts w:ascii="宋体" w:hAnsi="宋体" w:cs="宋体"/>
          <w:color w:val="333333"/>
          <w:kern w:val="0"/>
          <w:sz w:val="24"/>
        </w:rPr>
      </w:pPr>
    </w:p>
    <w:p>
      <w:pPr>
        <w:widowControl/>
        <w:shd w:val="clear" w:color="auto" w:fill="FFFFFF"/>
        <w:jc w:val="left"/>
        <w:rPr>
          <w:rFonts w:ascii="宋体" w:hAnsi="宋体" w:cs="宋体"/>
          <w:color w:val="333333"/>
          <w:kern w:val="0"/>
          <w:sz w:val="24"/>
        </w:rPr>
      </w:pPr>
    </w:p>
    <w:p>
      <w:pPr>
        <w:widowControl/>
        <w:shd w:val="clear" w:color="auto" w:fill="FFFFFF"/>
        <w:jc w:val="left"/>
        <w:rPr>
          <w:rFonts w:ascii="宋体" w:hAnsi="宋体" w:cs="宋体"/>
          <w:color w:val="333333"/>
          <w:kern w:val="0"/>
          <w:sz w:val="24"/>
        </w:rPr>
      </w:pPr>
    </w:p>
    <w:p>
      <w:pPr>
        <w:widowControl/>
        <w:shd w:val="clear" w:color="auto" w:fill="FFFFFF"/>
        <w:jc w:val="left"/>
        <w:rPr>
          <w:rFonts w:ascii="宋体" w:hAnsi="宋体" w:cs="宋体"/>
          <w:color w:val="333333"/>
          <w:kern w:val="0"/>
          <w:sz w:val="24"/>
        </w:rPr>
      </w:pPr>
    </w:p>
    <w:p>
      <w:pPr>
        <w:widowControl/>
        <w:shd w:val="clear" w:color="auto" w:fill="FFFFFF"/>
        <w:jc w:val="left"/>
        <w:rPr>
          <w:rFonts w:ascii="宋体" w:hAnsi="宋体" w:cs="宋体"/>
          <w:color w:val="333333"/>
          <w:kern w:val="0"/>
          <w:sz w:val="24"/>
        </w:rPr>
      </w:pPr>
    </w:p>
    <w:p>
      <w:pPr>
        <w:widowControl/>
        <w:shd w:val="clear" w:color="auto" w:fill="FFFFFF"/>
        <w:jc w:val="left"/>
        <w:rPr>
          <w:rFonts w:ascii="宋体" w:hAnsi="宋体" w:cs="宋体"/>
          <w:color w:val="333333"/>
          <w:kern w:val="0"/>
          <w:sz w:val="24"/>
        </w:rPr>
      </w:pPr>
    </w:p>
    <w:p>
      <w:pPr>
        <w:widowControl/>
        <w:shd w:val="clear" w:color="auto" w:fill="FFFFFF"/>
        <w:jc w:val="left"/>
        <w:rPr>
          <w:rFonts w:ascii="宋体" w:hAnsi="宋体" w:cs="宋体"/>
          <w:color w:val="333333"/>
          <w:kern w:val="0"/>
          <w:sz w:val="24"/>
        </w:rPr>
      </w:pPr>
    </w:p>
    <w:p>
      <w:pPr>
        <w:widowControl/>
        <w:shd w:val="clear" w:color="auto" w:fill="FFFFFF"/>
        <w:jc w:val="left"/>
        <w:rPr>
          <w:rFonts w:ascii="宋体" w:hAnsi="宋体" w:cs="宋体"/>
          <w:color w:val="333333"/>
          <w:kern w:val="0"/>
          <w:sz w:val="24"/>
        </w:rPr>
      </w:pPr>
    </w:p>
    <w:p>
      <w:pPr>
        <w:widowControl/>
        <w:shd w:val="clear" w:color="auto" w:fill="FFFFFF"/>
        <w:jc w:val="left"/>
        <w:rPr>
          <w:rFonts w:ascii="宋体" w:hAnsi="宋体" w:cs="宋体"/>
          <w:color w:val="333333"/>
          <w:kern w:val="0"/>
          <w:sz w:val="24"/>
        </w:rPr>
      </w:pPr>
    </w:p>
    <w:p>
      <w:pPr>
        <w:widowControl/>
        <w:shd w:val="clear" w:color="auto" w:fill="FFFFFF"/>
        <w:jc w:val="left"/>
        <w:rPr>
          <w:rFonts w:ascii="宋体" w:hAnsi="宋体" w:cs="宋体"/>
          <w:color w:val="333333"/>
          <w:kern w:val="0"/>
          <w:sz w:val="24"/>
        </w:rPr>
      </w:pPr>
    </w:p>
    <w:p>
      <w:pPr>
        <w:widowControl/>
        <w:shd w:val="clear" w:color="auto" w:fill="FFFFFF"/>
        <w:jc w:val="left"/>
        <w:rPr>
          <w:rFonts w:ascii="宋体" w:hAnsi="宋体" w:cs="宋体"/>
          <w:color w:val="333333"/>
          <w:kern w:val="0"/>
          <w:sz w:val="24"/>
        </w:rPr>
      </w:pPr>
    </w:p>
    <w:p>
      <w:pPr>
        <w:widowControl/>
        <w:shd w:val="clear" w:color="auto" w:fill="FFFFFF"/>
        <w:jc w:val="left"/>
        <w:rPr>
          <w:rFonts w:ascii="宋体" w:hAnsi="宋体" w:cs="宋体"/>
          <w:color w:val="333333"/>
          <w:kern w:val="0"/>
          <w:sz w:val="24"/>
        </w:rPr>
      </w:pPr>
    </w:p>
    <w:tbl>
      <w:tblPr>
        <w:tblStyle w:val="8"/>
        <w:tblW w:w="11472" w:type="dxa"/>
        <w:tblInd w:w="96" w:type="dxa"/>
        <w:shd w:val="clear" w:color="auto" w:fill="auto"/>
        <w:tblLayout w:type="fixed"/>
        <w:tblCellMar>
          <w:top w:w="0" w:type="dxa"/>
          <w:left w:w="108" w:type="dxa"/>
          <w:bottom w:w="0" w:type="dxa"/>
          <w:right w:w="108" w:type="dxa"/>
        </w:tblCellMar>
      </w:tblPr>
      <w:tblGrid>
        <w:gridCol w:w="3956"/>
        <w:gridCol w:w="816"/>
        <w:gridCol w:w="416"/>
        <w:gridCol w:w="416"/>
        <w:gridCol w:w="416"/>
        <w:gridCol w:w="416"/>
        <w:gridCol w:w="616"/>
        <w:gridCol w:w="816"/>
        <w:gridCol w:w="616"/>
        <w:gridCol w:w="616"/>
        <w:gridCol w:w="616"/>
        <w:gridCol w:w="1756"/>
      </w:tblGrid>
      <w:tr>
        <w:tblPrEx>
          <w:shd w:val="clear" w:color="auto" w:fill="auto"/>
          <w:tblLayout w:type="fixed"/>
          <w:tblCellMar>
            <w:top w:w="0" w:type="dxa"/>
            <w:left w:w="108" w:type="dxa"/>
            <w:bottom w:w="0" w:type="dxa"/>
            <w:right w:w="108" w:type="dxa"/>
          </w:tblCellMar>
        </w:tblPrEx>
        <w:trPr>
          <w:trHeight w:val="555" w:hRule="atLeast"/>
        </w:trPr>
        <w:tc>
          <w:tcPr>
            <w:tcW w:w="11472" w:type="dxa"/>
            <w:gridSpan w:val="12"/>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一般公共预算财政拨款“三公”经费支出决算表</w:t>
            </w:r>
          </w:p>
        </w:tc>
      </w:tr>
      <w:tr>
        <w:tblPrEx>
          <w:shd w:val="clear" w:color="auto" w:fill="auto"/>
          <w:tblLayout w:type="fixed"/>
          <w:tblCellMar>
            <w:top w:w="0" w:type="dxa"/>
            <w:left w:w="108" w:type="dxa"/>
            <w:bottom w:w="0" w:type="dxa"/>
            <w:right w:w="108" w:type="dxa"/>
          </w:tblCellMar>
        </w:tblPrEx>
        <w:trPr>
          <w:trHeight w:val="300" w:hRule="atLeast"/>
        </w:trPr>
        <w:tc>
          <w:tcPr>
            <w:tcW w:w="395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81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41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41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41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41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61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81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61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61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61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756"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公开07表</w:t>
            </w:r>
          </w:p>
        </w:tc>
      </w:tr>
      <w:tr>
        <w:tblPrEx>
          <w:tblLayout w:type="fixed"/>
          <w:tblCellMar>
            <w:top w:w="0" w:type="dxa"/>
            <w:left w:w="108" w:type="dxa"/>
            <w:bottom w:w="0" w:type="dxa"/>
            <w:right w:w="108" w:type="dxa"/>
          </w:tblCellMar>
        </w:tblPrEx>
        <w:trPr>
          <w:trHeight w:val="300" w:hRule="atLeast"/>
        </w:trPr>
        <w:tc>
          <w:tcPr>
            <w:tcW w:w="3956"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部门：黄石市黄石港区教育局（本级）</w:t>
            </w:r>
          </w:p>
        </w:tc>
        <w:tc>
          <w:tcPr>
            <w:tcW w:w="816"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416"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416"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416"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416"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616"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816"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616"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616"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616"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756"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shd w:val="clear" w:color="auto" w:fill="auto"/>
          <w:tblLayout w:type="fixed"/>
          <w:tblCellMar>
            <w:top w:w="0" w:type="dxa"/>
            <w:left w:w="108" w:type="dxa"/>
            <w:bottom w:w="0" w:type="dxa"/>
            <w:right w:w="108" w:type="dxa"/>
          </w:tblCellMar>
        </w:tblPrEx>
        <w:trPr>
          <w:trHeight w:val="300" w:hRule="atLeast"/>
        </w:trPr>
        <w:tc>
          <w:tcPr>
            <w:tcW w:w="6436" w:type="dxa"/>
            <w:gridSpan w:val="6"/>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5036" w:type="dxa"/>
            <w:gridSpan w:val="6"/>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shd w:val="clear" w:color="auto" w:fill="auto"/>
          <w:tblLayout w:type="fixed"/>
          <w:tblCellMar>
            <w:top w:w="0" w:type="dxa"/>
            <w:left w:w="108" w:type="dxa"/>
            <w:bottom w:w="0" w:type="dxa"/>
            <w:right w:w="108" w:type="dxa"/>
          </w:tblCellMar>
        </w:tblPrEx>
        <w:trPr>
          <w:trHeight w:val="300" w:hRule="atLeast"/>
        </w:trPr>
        <w:tc>
          <w:tcPr>
            <w:tcW w:w="3956" w:type="dxa"/>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16"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1248" w:type="dxa"/>
            <w:gridSpan w:val="3"/>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416"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c>
          <w:tcPr>
            <w:tcW w:w="616"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16"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1848" w:type="dxa"/>
            <w:gridSpan w:val="3"/>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1756"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r>
      <w:tr>
        <w:tblPrEx>
          <w:shd w:val="clear" w:color="auto" w:fill="auto"/>
          <w:tblLayout w:type="fixed"/>
          <w:tblCellMar>
            <w:top w:w="0" w:type="dxa"/>
            <w:left w:w="108" w:type="dxa"/>
            <w:bottom w:w="0" w:type="dxa"/>
            <w:right w:w="108" w:type="dxa"/>
          </w:tblCellMar>
        </w:tblPrEx>
        <w:trPr>
          <w:trHeight w:val="920" w:hRule="atLeast"/>
        </w:trPr>
        <w:tc>
          <w:tcPr>
            <w:tcW w:w="3956" w:type="dxa"/>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1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16"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416"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41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61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1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616"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616"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616"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175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shd w:val="clear" w:color="auto" w:fill="auto"/>
          <w:tblLayout w:type="fixed"/>
          <w:tblCellMar>
            <w:top w:w="0" w:type="dxa"/>
            <w:left w:w="108" w:type="dxa"/>
            <w:bottom w:w="0" w:type="dxa"/>
            <w:right w:w="108" w:type="dxa"/>
          </w:tblCellMar>
        </w:tblPrEx>
        <w:trPr>
          <w:trHeight w:val="300" w:hRule="atLeast"/>
        </w:trPr>
        <w:tc>
          <w:tcPr>
            <w:tcW w:w="3956" w:type="dxa"/>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6"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16"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16"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16"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16"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16"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816"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16"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16"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16"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756"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Layout w:type="fixed"/>
          <w:tblCellMar>
            <w:top w:w="0" w:type="dxa"/>
            <w:left w:w="108" w:type="dxa"/>
            <w:bottom w:w="0" w:type="dxa"/>
            <w:right w:w="108" w:type="dxa"/>
          </w:tblCellMar>
        </w:tblPrEx>
        <w:trPr>
          <w:trHeight w:val="300" w:hRule="atLeast"/>
        </w:trPr>
        <w:tc>
          <w:tcPr>
            <w:tcW w:w="3956" w:type="dxa"/>
            <w:tcBorders>
              <w:top w:val="nil"/>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6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930" w:hRule="atLeast"/>
        </w:trPr>
        <w:tc>
          <w:tcPr>
            <w:tcW w:w="11472" w:type="dxa"/>
            <w:gridSpan w:val="12"/>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财政拨款“三公”经费支出预决算情况。其中，预算数为“三公”经费年初预算数，包括一般公共预算财政拨款预算数和政府性基金财政拨款及国有资本经营预算财政拨款预算数，此数据由单位自己填报。决算数包括当年一般公共预算财政拨款、政府性基金预算财政拨款、国有资本经营预算财政拨款和以前年度结转资金安排的实际支出。</w:t>
            </w:r>
          </w:p>
        </w:tc>
      </w:tr>
    </w:tbl>
    <w:p>
      <w:pPr>
        <w:widowControl/>
        <w:shd w:val="clear" w:color="auto" w:fill="FFFFFF"/>
        <w:jc w:val="left"/>
        <w:rPr>
          <w:rFonts w:ascii="宋体" w:hAnsi="宋体" w:cs="宋体"/>
          <w:color w:val="333333"/>
          <w:kern w:val="0"/>
          <w:sz w:val="24"/>
        </w:rPr>
      </w:pPr>
    </w:p>
    <w:tbl>
      <w:tblPr>
        <w:tblStyle w:val="8"/>
        <w:tblpPr w:leftFromText="180" w:rightFromText="180" w:vertAnchor="text" w:horzAnchor="page" w:tblpX="1535" w:tblpY="-4091"/>
        <w:tblOverlap w:val="never"/>
        <w:tblW w:w="13820" w:type="dxa"/>
        <w:tblInd w:w="0" w:type="dxa"/>
        <w:shd w:val="clear" w:color="auto" w:fill="auto"/>
        <w:tblLayout w:type="fixed"/>
        <w:tblCellMar>
          <w:top w:w="0" w:type="dxa"/>
          <w:left w:w="0" w:type="dxa"/>
          <w:bottom w:w="0" w:type="dxa"/>
          <w:right w:w="0" w:type="dxa"/>
        </w:tblCellMar>
      </w:tblPr>
      <w:tblGrid>
        <w:gridCol w:w="4240"/>
        <w:gridCol w:w="1329"/>
        <w:gridCol w:w="843"/>
        <w:gridCol w:w="843"/>
        <w:gridCol w:w="843"/>
        <w:gridCol w:w="843"/>
        <w:gridCol w:w="843"/>
        <w:gridCol w:w="4036"/>
      </w:tblGrid>
      <w:tr>
        <w:tblPrEx>
          <w:shd w:val="clear" w:color="auto" w:fill="auto"/>
          <w:tblLayout w:type="fixed"/>
          <w:tblCellMar>
            <w:top w:w="0" w:type="dxa"/>
            <w:left w:w="0" w:type="dxa"/>
            <w:bottom w:w="0" w:type="dxa"/>
            <w:right w:w="0" w:type="dxa"/>
          </w:tblCellMar>
        </w:tblPrEx>
        <w:trPr>
          <w:trHeight w:val="215" w:hRule="atLeast"/>
        </w:trPr>
        <w:tc>
          <w:tcPr>
            <w:tcW w:w="1382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黑体" w:hAnsi="宋体" w:eastAsia="黑体" w:cs="黑体"/>
                <w:i w:val="0"/>
                <w:iCs w:val="0"/>
                <w:color w:val="000000"/>
                <w:kern w:val="0"/>
                <w:sz w:val="36"/>
                <w:szCs w:val="36"/>
                <w:u w:val="none"/>
                <w:lang w:val="en-US" w:eastAsia="zh-CN" w:bidi="ar"/>
              </w:rPr>
              <w:t>政府性基金预算财政拨款收入支出决算表</w:t>
            </w:r>
          </w:p>
        </w:tc>
      </w:tr>
      <w:tr>
        <w:tblPrEx>
          <w:tblLayout w:type="fixed"/>
          <w:tblCellMar>
            <w:top w:w="0" w:type="dxa"/>
            <w:left w:w="0" w:type="dxa"/>
            <w:bottom w:w="0" w:type="dxa"/>
            <w:right w:w="0" w:type="dxa"/>
          </w:tblCellMar>
        </w:tblPrEx>
        <w:trPr>
          <w:trHeight w:val="110" w:hRule="atLeast"/>
        </w:trPr>
        <w:tc>
          <w:tcPr>
            <w:tcW w:w="1382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shd w:val="clear" w:color="auto" w:fill="auto"/>
          <w:tblLayout w:type="fixed"/>
          <w:tblCellMar>
            <w:top w:w="0" w:type="dxa"/>
            <w:left w:w="0" w:type="dxa"/>
            <w:bottom w:w="0" w:type="dxa"/>
            <w:right w:w="0" w:type="dxa"/>
          </w:tblCellMar>
        </w:tblPrEx>
        <w:trPr>
          <w:trHeight w:val="110" w:hRule="atLeast"/>
        </w:trPr>
        <w:tc>
          <w:tcPr>
            <w:tcW w:w="5569"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eastAsia="宋体" w:cs="宋体"/>
                <w:i w:val="0"/>
                <w:color w:val="000000"/>
                <w:kern w:val="0"/>
                <w:sz w:val="22"/>
                <w:szCs w:val="22"/>
                <w:u w:val="none"/>
                <w:lang w:val="en-US" w:eastAsia="zh-CN" w:bidi="ar"/>
              </w:rPr>
              <w:t>黄石市黄石港区教育局（本级）</w:t>
            </w: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4036"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Layout w:type="fixed"/>
          <w:tblCellMar>
            <w:top w:w="0" w:type="dxa"/>
            <w:left w:w="0" w:type="dxa"/>
            <w:bottom w:w="0" w:type="dxa"/>
            <w:right w:w="0" w:type="dxa"/>
          </w:tblCellMar>
        </w:tblPrEx>
        <w:trPr>
          <w:trHeight w:val="114" w:hRule="atLeast"/>
        </w:trPr>
        <w:tc>
          <w:tcPr>
            <w:tcW w:w="556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84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84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2529"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4036"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shd w:val="clear" w:color="auto" w:fill="auto"/>
          <w:tblLayout w:type="fixed"/>
          <w:tblCellMar>
            <w:top w:w="0" w:type="dxa"/>
            <w:left w:w="0" w:type="dxa"/>
            <w:bottom w:w="0" w:type="dxa"/>
            <w:right w:w="0" w:type="dxa"/>
          </w:tblCellMar>
        </w:tblPrEx>
        <w:trPr>
          <w:trHeight w:val="312" w:hRule="atLeast"/>
        </w:trPr>
        <w:tc>
          <w:tcPr>
            <w:tcW w:w="4240"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1329"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8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8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403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12" w:hRule="atLeast"/>
        </w:trPr>
        <w:tc>
          <w:tcPr>
            <w:tcW w:w="4240"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29"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03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12" w:hRule="atLeast"/>
        </w:trPr>
        <w:tc>
          <w:tcPr>
            <w:tcW w:w="4240"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29"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03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114" w:hRule="atLeast"/>
        </w:trPr>
        <w:tc>
          <w:tcPr>
            <w:tcW w:w="5569"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0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Layout w:type="fixed"/>
          <w:tblCellMar>
            <w:top w:w="0" w:type="dxa"/>
            <w:left w:w="0" w:type="dxa"/>
            <w:bottom w:w="0" w:type="dxa"/>
            <w:right w:w="0" w:type="dxa"/>
          </w:tblCellMar>
        </w:tblPrEx>
        <w:trPr>
          <w:trHeight w:val="114" w:hRule="atLeast"/>
        </w:trPr>
        <w:tc>
          <w:tcPr>
            <w:tcW w:w="5569"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c>
          <w:tcPr>
            <w:tcW w:w="4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r>
      <w:tr>
        <w:tblPrEx>
          <w:tblLayout w:type="fixed"/>
          <w:tblCellMar>
            <w:top w:w="0" w:type="dxa"/>
            <w:left w:w="0" w:type="dxa"/>
            <w:bottom w:w="0" w:type="dxa"/>
            <w:right w:w="0" w:type="dxa"/>
          </w:tblCellMar>
        </w:tblPrEx>
        <w:trPr>
          <w:trHeight w:val="114" w:hRule="atLeast"/>
        </w:trPr>
        <w:tc>
          <w:tcPr>
            <w:tcW w:w="42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114" w:hRule="atLeast"/>
        </w:trPr>
        <w:tc>
          <w:tcPr>
            <w:tcW w:w="13820"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pPr>
        <w:widowControl/>
        <w:shd w:val="clear" w:color="auto" w:fill="FFFFFF"/>
        <w:jc w:val="left"/>
        <w:rPr>
          <w:rFonts w:ascii="宋体" w:hAnsi="宋体" w:cs="宋体"/>
          <w:color w:val="333333"/>
          <w:kern w:val="0"/>
          <w:sz w:val="24"/>
        </w:rPr>
      </w:pPr>
    </w:p>
    <w:p>
      <w:pPr>
        <w:widowControl/>
        <w:shd w:val="clear" w:color="auto" w:fill="FFFFFF"/>
        <w:jc w:val="left"/>
        <w:rPr>
          <w:rFonts w:ascii="宋体" w:hAnsi="宋体" w:cs="宋体"/>
          <w:color w:val="333333"/>
          <w:kern w:val="0"/>
          <w:sz w:val="24"/>
        </w:rPr>
      </w:pPr>
    </w:p>
    <w:p>
      <w:pPr>
        <w:widowControl/>
        <w:shd w:val="clear" w:color="auto" w:fill="FFFFFF"/>
        <w:jc w:val="left"/>
        <w:rPr>
          <w:rFonts w:ascii="宋体" w:hAnsi="宋体" w:cs="宋体"/>
          <w:color w:val="333333"/>
          <w:kern w:val="0"/>
          <w:sz w:val="24"/>
        </w:rPr>
      </w:pPr>
    </w:p>
    <w:p>
      <w:pPr>
        <w:widowControl/>
        <w:shd w:val="clear" w:color="auto" w:fill="FFFFFF"/>
        <w:jc w:val="left"/>
        <w:rPr>
          <w:rFonts w:ascii="宋体" w:hAnsi="宋体" w:cs="宋体"/>
          <w:color w:val="333333"/>
          <w:kern w:val="0"/>
          <w:sz w:val="24"/>
        </w:rPr>
      </w:pPr>
    </w:p>
    <w:p>
      <w:pPr>
        <w:widowControl/>
        <w:shd w:val="clear" w:color="auto" w:fill="FFFFFF"/>
        <w:jc w:val="left"/>
        <w:rPr>
          <w:rFonts w:ascii="宋体" w:hAnsi="宋体" w:cs="宋体"/>
          <w:color w:val="333333"/>
          <w:kern w:val="0"/>
          <w:sz w:val="24"/>
        </w:rPr>
      </w:pPr>
    </w:p>
    <w:p>
      <w:pPr>
        <w:widowControl/>
        <w:shd w:val="clear" w:color="auto" w:fill="FFFFFF"/>
        <w:jc w:val="left"/>
        <w:rPr>
          <w:rFonts w:ascii="宋体" w:hAnsi="宋体" w:cs="宋体"/>
          <w:color w:val="333333"/>
          <w:kern w:val="0"/>
          <w:sz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Pr>
          <w:color w:val="333333"/>
          <w:sz w:val="24"/>
          <w:szCs w:val="24"/>
        </w:rPr>
      </w:pPr>
      <w:r>
        <w:rPr>
          <w:rStyle w:val="7"/>
          <w:rFonts w:hint="eastAsia" w:ascii="微软雅黑" w:hAnsi="微软雅黑" w:eastAsia="微软雅黑" w:cs="微软雅黑"/>
          <w:i w:val="0"/>
          <w:caps w:val="0"/>
          <w:color w:val="333333"/>
          <w:spacing w:val="0"/>
          <w:sz w:val="24"/>
          <w:szCs w:val="24"/>
          <w:shd w:val="clear" w:fill="FFFFFF"/>
          <w:lang w:eastAsia="zh-CN"/>
        </w:rPr>
        <w:t>第三部分</w:t>
      </w:r>
      <w:r>
        <w:rPr>
          <w:rStyle w:val="7"/>
          <w:rFonts w:hint="eastAsia" w:ascii="微软雅黑" w:hAnsi="微软雅黑" w:eastAsia="微软雅黑" w:cs="微软雅黑"/>
          <w:i w:val="0"/>
          <w:caps w:val="0"/>
          <w:color w:val="333333"/>
          <w:spacing w:val="0"/>
          <w:sz w:val="24"/>
          <w:szCs w:val="24"/>
          <w:shd w:val="clear" w:fill="FFFFFF"/>
          <w:lang w:val="en-US" w:eastAsia="zh-CN"/>
        </w:rPr>
        <w:t xml:space="preserve"> </w:t>
      </w:r>
      <w:r>
        <w:rPr>
          <w:rStyle w:val="7"/>
          <w:rFonts w:hint="eastAsia" w:ascii="微软雅黑" w:hAnsi="微软雅黑" w:eastAsia="微软雅黑" w:cs="微软雅黑"/>
          <w:i w:val="0"/>
          <w:caps w:val="0"/>
          <w:color w:val="333333"/>
          <w:spacing w:val="0"/>
          <w:sz w:val="24"/>
          <w:szCs w:val="24"/>
          <w:shd w:val="clear" w:fill="FFFFFF"/>
          <w:lang w:eastAsia="zh-CN"/>
        </w:rPr>
        <w:t>2020年</w:t>
      </w:r>
      <w:r>
        <w:rPr>
          <w:rStyle w:val="7"/>
          <w:rFonts w:hint="eastAsia" w:ascii="微软雅黑" w:hAnsi="微软雅黑" w:eastAsia="微软雅黑" w:cs="微软雅黑"/>
          <w:i w:val="0"/>
          <w:caps w:val="0"/>
          <w:color w:val="333333"/>
          <w:spacing w:val="0"/>
          <w:sz w:val="24"/>
          <w:szCs w:val="24"/>
          <w:shd w:val="clear" w:fill="FFFFFF"/>
        </w:rPr>
        <w:t>部门决算情况说明</w:t>
      </w:r>
    </w:p>
    <w:p>
      <w:pPr>
        <w:widowControl/>
        <w:shd w:val="clear" w:color="auto" w:fill="FFFFFF"/>
        <w:ind w:firstLine="480"/>
        <w:jc w:val="left"/>
        <w:rPr>
          <w:rFonts w:hint="eastAsia" w:ascii="宋体" w:hAnsi="宋体" w:cs="宋体"/>
          <w:b/>
          <w:bCs/>
          <w:sz w:val="28"/>
          <w:szCs w:val="28"/>
        </w:rPr>
      </w:pPr>
      <w:r>
        <w:rPr>
          <w:rFonts w:hint="eastAsia" w:ascii="宋体" w:hAnsi="宋体" w:cs="宋体"/>
          <w:b/>
          <w:bCs/>
          <w:sz w:val="28"/>
          <w:szCs w:val="28"/>
        </w:rPr>
        <w:t>（一）预算执行情况分析</w:t>
      </w:r>
    </w:p>
    <w:p>
      <w:pPr>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640" w:firstLineChars="200"/>
        <w:textAlignment w:val="auto"/>
        <w:outlineLvl w:val="9"/>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rPr>
        <w:t>20</w:t>
      </w:r>
      <w:r>
        <w:rPr>
          <w:rFonts w:hint="eastAsia" w:ascii="仿宋" w:hAnsi="仿宋" w:eastAsia="仿宋" w:cs="仿宋"/>
          <w:b w:val="0"/>
          <w:bCs w:val="0"/>
          <w:color w:val="auto"/>
          <w:kern w:val="0"/>
          <w:sz w:val="32"/>
          <w:szCs w:val="32"/>
          <w:lang w:val="en-US" w:eastAsia="zh-CN"/>
        </w:rPr>
        <w:t>20</w:t>
      </w:r>
      <w:r>
        <w:rPr>
          <w:rFonts w:hint="eastAsia" w:ascii="仿宋" w:hAnsi="仿宋" w:eastAsia="仿宋" w:cs="仿宋"/>
          <w:b w:val="0"/>
          <w:bCs w:val="0"/>
          <w:color w:val="auto"/>
          <w:kern w:val="0"/>
          <w:sz w:val="32"/>
          <w:szCs w:val="32"/>
        </w:rPr>
        <w:t>年度</w:t>
      </w:r>
      <w:r>
        <w:rPr>
          <w:rFonts w:hint="eastAsia" w:ascii="仿宋" w:hAnsi="仿宋" w:eastAsia="仿宋" w:cs="仿宋"/>
          <w:b w:val="0"/>
          <w:bCs w:val="0"/>
          <w:color w:val="auto"/>
          <w:kern w:val="0"/>
          <w:sz w:val="32"/>
          <w:szCs w:val="32"/>
          <w:lang w:eastAsia="zh-CN"/>
        </w:rPr>
        <w:t>总收入为</w:t>
      </w:r>
      <w:r>
        <w:rPr>
          <w:rFonts w:hint="eastAsia" w:ascii="仿宋" w:hAnsi="仿宋" w:eastAsia="仿宋" w:cs="仿宋"/>
          <w:b w:val="0"/>
          <w:bCs w:val="0"/>
          <w:color w:val="auto"/>
          <w:kern w:val="0"/>
          <w:sz w:val="32"/>
          <w:szCs w:val="32"/>
          <w:lang w:val="en-US" w:eastAsia="zh-CN"/>
        </w:rPr>
        <w:t>1896.19万元其中</w:t>
      </w:r>
      <w:r>
        <w:rPr>
          <w:rFonts w:hint="eastAsia" w:ascii="仿宋" w:hAnsi="仿宋" w:eastAsia="仿宋" w:cs="仿宋"/>
          <w:b w:val="0"/>
          <w:bCs w:val="0"/>
          <w:color w:val="auto"/>
          <w:kern w:val="0"/>
          <w:sz w:val="32"/>
          <w:szCs w:val="32"/>
          <w:lang w:eastAsia="zh-CN"/>
        </w:rPr>
        <w:t>财政年初预算数为</w:t>
      </w:r>
      <w:r>
        <w:rPr>
          <w:rFonts w:hint="eastAsia" w:ascii="仿宋" w:hAnsi="仿宋" w:eastAsia="仿宋" w:cs="仿宋"/>
          <w:b w:val="0"/>
          <w:bCs w:val="0"/>
          <w:color w:val="000000"/>
          <w:kern w:val="0"/>
          <w:sz w:val="32"/>
          <w:szCs w:val="32"/>
          <w:lang w:val="en-US" w:eastAsia="zh-CN"/>
        </w:rPr>
        <w:t>373.05</w:t>
      </w:r>
      <w:r>
        <w:rPr>
          <w:rFonts w:hint="eastAsia" w:ascii="仿宋" w:hAnsi="仿宋" w:eastAsia="仿宋" w:cs="仿宋"/>
          <w:b w:val="0"/>
          <w:bCs w:val="0"/>
          <w:color w:val="auto"/>
          <w:kern w:val="0"/>
          <w:sz w:val="32"/>
          <w:szCs w:val="32"/>
          <w:lang w:val="en-US" w:eastAsia="zh-CN"/>
        </w:rPr>
        <w:t>万元、财拨数</w:t>
      </w:r>
      <w:r>
        <w:rPr>
          <w:rFonts w:hint="eastAsia" w:ascii="仿宋" w:hAnsi="仿宋" w:eastAsia="仿宋" w:cs="仿宋"/>
          <w:color w:val="auto"/>
          <w:sz w:val="32"/>
          <w:szCs w:val="32"/>
          <w:u w:val="none"/>
          <w:lang w:val="en-US" w:eastAsia="zh-CN"/>
        </w:rPr>
        <w:t>1727.92</w:t>
      </w:r>
      <w:r>
        <w:rPr>
          <w:rFonts w:hint="eastAsia" w:ascii="仿宋" w:hAnsi="仿宋" w:eastAsia="仿宋" w:cs="仿宋"/>
          <w:b w:val="0"/>
          <w:bCs w:val="0"/>
          <w:color w:val="auto"/>
          <w:kern w:val="0"/>
          <w:sz w:val="32"/>
          <w:szCs w:val="32"/>
        </w:rPr>
        <w:t>万元，</w:t>
      </w:r>
      <w:r>
        <w:rPr>
          <w:rFonts w:hint="eastAsia" w:ascii="仿宋" w:hAnsi="仿宋" w:eastAsia="仿宋" w:cs="仿宋"/>
          <w:b w:val="0"/>
          <w:bCs w:val="0"/>
          <w:color w:val="auto"/>
          <w:kern w:val="0"/>
          <w:sz w:val="32"/>
          <w:szCs w:val="32"/>
          <w:lang w:eastAsia="zh-CN"/>
        </w:rPr>
        <w:t>其他资金为</w:t>
      </w:r>
      <w:r>
        <w:rPr>
          <w:rFonts w:hint="eastAsia" w:ascii="仿宋" w:hAnsi="仿宋" w:eastAsia="仿宋" w:cs="仿宋"/>
          <w:b w:val="0"/>
          <w:bCs w:val="0"/>
          <w:color w:val="auto"/>
          <w:kern w:val="0"/>
          <w:sz w:val="32"/>
          <w:szCs w:val="32"/>
          <w:lang w:val="en-US" w:eastAsia="zh-CN"/>
        </w:rPr>
        <w:t>168.29万元，</w:t>
      </w:r>
      <w:r>
        <w:rPr>
          <w:rFonts w:hint="eastAsia" w:ascii="仿宋" w:hAnsi="仿宋" w:eastAsia="仿宋" w:cs="仿宋"/>
          <w:b w:val="0"/>
          <w:bCs w:val="0"/>
          <w:color w:val="auto"/>
          <w:kern w:val="0"/>
          <w:sz w:val="32"/>
          <w:szCs w:val="32"/>
          <w:lang w:eastAsia="zh-CN"/>
        </w:rPr>
        <w:t>与上年相比同期分别</w:t>
      </w:r>
      <w:r>
        <w:rPr>
          <w:rFonts w:hint="eastAsia" w:ascii="仿宋" w:hAnsi="仿宋" w:eastAsia="仿宋" w:cs="仿宋"/>
          <w:b w:val="0"/>
          <w:bCs w:val="0"/>
          <w:color w:val="auto"/>
          <w:kern w:val="0"/>
          <w:sz w:val="32"/>
          <w:szCs w:val="32"/>
          <w:lang w:val="en-US" w:eastAsia="zh-CN"/>
        </w:rPr>
        <w:t>为84.01%、1.08%、108.52%、-16.62%，其主要原因区政府加大对人员工资、建设、资助等项目的教育投入，但其他各级资金减少对建设项目的教育投入。</w:t>
      </w:r>
      <w:r>
        <w:rPr>
          <w:rFonts w:hint="eastAsia" w:ascii="仿宋" w:hAnsi="仿宋" w:eastAsia="仿宋" w:cs="仿宋"/>
          <w:b w:val="0"/>
          <w:bCs w:val="0"/>
          <w:color w:val="auto"/>
          <w:kern w:val="0"/>
          <w:sz w:val="32"/>
          <w:szCs w:val="32"/>
        </w:rPr>
        <w:t xml:space="preserve"> </w:t>
      </w:r>
    </w:p>
    <w:p>
      <w:pPr>
        <w:widowControl/>
        <w:shd w:val="clear" w:color="auto" w:fill="FFFFFF"/>
        <w:ind w:firstLine="48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（二）关于“三公”经费支出说明</w:t>
      </w:r>
    </w:p>
    <w:p>
      <w:pPr>
        <w:snapToGrid w:val="0"/>
        <w:spacing w:line="520" w:lineRule="exact"/>
        <w:ind w:firstLine="640" w:firstLineChars="200"/>
        <w:rPr>
          <w:rFonts w:hint="eastAsia" w:ascii="仿宋" w:hAnsi="仿宋" w:eastAsia="仿宋" w:cs="仿宋"/>
          <w:b w:val="0"/>
          <w:bCs w:val="0"/>
          <w:color w:val="auto"/>
          <w:kern w:val="0"/>
          <w:sz w:val="32"/>
          <w:szCs w:val="32"/>
        </w:rPr>
      </w:pPr>
      <w:r>
        <w:rPr>
          <w:rFonts w:hint="eastAsia" w:ascii="仿宋" w:hAnsi="仿宋" w:eastAsia="仿宋" w:cs="仿宋"/>
          <w:b w:val="0"/>
          <w:bCs/>
          <w:color w:val="auto"/>
          <w:sz w:val="32"/>
          <w:szCs w:val="32"/>
          <w:lang w:val="en-US" w:eastAsia="zh-CN"/>
        </w:rPr>
        <w:t>2020年</w:t>
      </w:r>
      <w:r>
        <w:rPr>
          <w:rFonts w:hint="eastAsia" w:ascii="仿宋" w:hAnsi="仿宋" w:eastAsia="仿宋" w:cs="仿宋"/>
          <w:b/>
          <w:color w:val="auto"/>
          <w:sz w:val="32"/>
          <w:szCs w:val="32"/>
        </w:rPr>
        <w:t>“</w:t>
      </w:r>
      <w:r>
        <w:rPr>
          <w:rFonts w:hint="eastAsia" w:ascii="仿宋" w:hAnsi="仿宋" w:eastAsia="仿宋" w:cs="仿宋"/>
          <w:color w:val="auto"/>
          <w:sz w:val="32"/>
          <w:szCs w:val="32"/>
        </w:rPr>
        <w:t>三公</w:t>
      </w:r>
      <w:r>
        <w:rPr>
          <w:rFonts w:hint="eastAsia" w:ascii="仿宋" w:hAnsi="仿宋" w:eastAsia="仿宋" w:cs="仿宋"/>
          <w:b/>
          <w:color w:val="auto"/>
          <w:sz w:val="32"/>
          <w:szCs w:val="32"/>
        </w:rPr>
        <w:t>”</w:t>
      </w:r>
      <w:r>
        <w:rPr>
          <w:rFonts w:hint="eastAsia" w:ascii="仿宋" w:hAnsi="仿宋" w:eastAsia="仿宋" w:cs="仿宋"/>
          <w:color w:val="auto"/>
          <w:sz w:val="32"/>
          <w:szCs w:val="32"/>
        </w:rPr>
        <w:t>经费支出</w:t>
      </w:r>
      <w:r>
        <w:rPr>
          <w:rFonts w:hint="eastAsia" w:ascii="仿宋" w:hAnsi="仿宋" w:eastAsia="仿宋" w:cs="仿宋"/>
          <w:color w:val="auto"/>
          <w:sz w:val="32"/>
          <w:szCs w:val="32"/>
          <w:shd w:val="clear" w:color="auto" w:fill="auto"/>
        </w:rPr>
        <w:t>总额</w:t>
      </w:r>
      <w:r>
        <w:rPr>
          <w:rFonts w:hint="eastAsia" w:ascii="仿宋" w:hAnsi="仿宋" w:eastAsia="仿宋" w:cs="仿宋"/>
          <w:color w:val="auto"/>
          <w:sz w:val="32"/>
          <w:szCs w:val="32"/>
          <w:lang w:eastAsia="zh-CN"/>
        </w:rPr>
        <w:t>为</w:t>
      </w:r>
      <w:r>
        <w:rPr>
          <w:rFonts w:hint="eastAsia" w:ascii="仿宋" w:hAnsi="仿宋" w:eastAsia="仿宋" w:cs="仿宋"/>
          <w:color w:val="auto"/>
          <w:sz w:val="32"/>
          <w:szCs w:val="32"/>
          <w:lang w:val="en-US" w:eastAsia="zh-CN"/>
        </w:rPr>
        <w:t>0元，同比减少100%，主要是因</w:t>
      </w:r>
      <w:r>
        <w:rPr>
          <w:rFonts w:hint="eastAsia" w:ascii="仿宋" w:hAnsi="仿宋" w:eastAsia="仿宋" w:cs="仿宋"/>
          <w:b w:val="0"/>
          <w:bCs/>
          <w:color w:val="auto"/>
          <w:kern w:val="0"/>
          <w:sz w:val="32"/>
          <w:szCs w:val="32"/>
        </w:rPr>
        <w:t>今年无外地单位学校来我区跟岗培训</w:t>
      </w:r>
      <w:r>
        <w:rPr>
          <w:rFonts w:hint="eastAsia" w:ascii="仿宋" w:hAnsi="仿宋" w:eastAsia="仿宋" w:cs="仿宋"/>
          <w:color w:val="auto"/>
          <w:sz w:val="32"/>
          <w:szCs w:val="32"/>
          <w:lang w:val="en-US" w:eastAsia="zh-CN"/>
        </w:rPr>
        <w:t>。</w:t>
      </w:r>
    </w:p>
    <w:p>
      <w:pPr>
        <w:widowControl/>
        <w:shd w:val="clear" w:color="auto" w:fill="FFFFFF"/>
        <w:ind w:firstLine="48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（三）关于机关运行经费支出说明</w:t>
      </w:r>
    </w:p>
    <w:p>
      <w:pPr>
        <w:widowControl/>
        <w:shd w:val="clear" w:color="auto" w:fill="FFFFFF"/>
        <w:ind w:firstLine="480"/>
        <w:jc w:val="left"/>
        <w:rPr>
          <w:rFonts w:hint="eastAsia" w:asciiTheme="minorEastAsia" w:hAnsiTheme="minorEastAsia" w:eastAsiaTheme="minorEastAsia" w:cstheme="minorEastAsia"/>
          <w:sz w:val="28"/>
          <w:szCs w:val="28"/>
          <w:lang w:val="en-US" w:eastAsia="zh-CN"/>
        </w:rPr>
      </w:pPr>
      <w:r>
        <w:rPr>
          <w:rFonts w:hint="eastAsia" w:ascii="仿宋" w:hAnsi="仿宋" w:eastAsia="仿宋" w:cs="仿宋"/>
          <w:b w:val="0"/>
          <w:bCs/>
          <w:color w:val="auto"/>
          <w:kern w:val="0"/>
          <w:sz w:val="32"/>
          <w:szCs w:val="32"/>
        </w:rPr>
        <w:t>20</w:t>
      </w:r>
      <w:r>
        <w:rPr>
          <w:rFonts w:hint="eastAsia" w:ascii="仿宋" w:hAnsi="仿宋" w:eastAsia="仿宋" w:cs="仿宋"/>
          <w:b w:val="0"/>
          <w:bCs/>
          <w:color w:val="auto"/>
          <w:kern w:val="0"/>
          <w:sz w:val="32"/>
          <w:szCs w:val="32"/>
          <w:lang w:val="en-US" w:eastAsia="zh-CN"/>
        </w:rPr>
        <w:t>20</w:t>
      </w:r>
      <w:r>
        <w:rPr>
          <w:rFonts w:hint="eastAsia" w:ascii="仿宋" w:hAnsi="仿宋" w:eastAsia="仿宋" w:cs="仿宋"/>
          <w:b w:val="0"/>
          <w:bCs/>
          <w:color w:val="auto"/>
          <w:kern w:val="0"/>
          <w:sz w:val="32"/>
          <w:szCs w:val="32"/>
        </w:rPr>
        <w:t>年</w:t>
      </w:r>
      <w:r>
        <w:rPr>
          <w:rFonts w:hint="eastAsia" w:ascii="仿宋" w:hAnsi="仿宋" w:eastAsia="仿宋" w:cs="仿宋"/>
          <w:bCs/>
          <w:color w:val="auto"/>
          <w:sz w:val="32"/>
          <w:szCs w:val="32"/>
        </w:rPr>
        <w:t>行政</w:t>
      </w:r>
      <w:r>
        <w:rPr>
          <w:rFonts w:hint="eastAsia" w:ascii="仿宋" w:hAnsi="仿宋" w:eastAsia="仿宋" w:cs="仿宋"/>
          <w:b w:val="0"/>
          <w:bCs/>
          <w:color w:val="auto"/>
          <w:kern w:val="0"/>
          <w:sz w:val="32"/>
          <w:szCs w:val="32"/>
          <w:lang w:eastAsia="zh-CN"/>
        </w:rPr>
        <w:t>运行经费为</w:t>
      </w:r>
      <w:r>
        <w:rPr>
          <w:rFonts w:hint="eastAsia" w:ascii="仿宋" w:hAnsi="仿宋" w:eastAsia="仿宋" w:cs="仿宋"/>
          <w:b w:val="0"/>
          <w:bCs/>
          <w:color w:val="auto"/>
          <w:kern w:val="0"/>
          <w:sz w:val="32"/>
          <w:szCs w:val="32"/>
          <w:lang w:val="en-US" w:eastAsia="zh-CN"/>
        </w:rPr>
        <w:t>1334.01万元</w:t>
      </w:r>
      <w:r>
        <w:rPr>
          <w:rFonts w:hint="eastAsia" w:ascii="仿宋" w:hAnsi="仿宋" w:eastAsia="仿宋" w:cs="仿宋"/>
          <w:b w:val="0"/>
          <w:bCs/>
          <w:color w:val="auto"/>
          <w:kern w:val="0"/>
          <w:sz w:val="32"/>
          <w:szCs w:val="32"/>
          <w:lang w:eastAsia="zh-CN"/>
        </w:rPr>
        <w:t>，</w:t>
      </w:r>
      <w:r>
        <w:rPr>
          <w:rFonts w:hint="eastAsia" w:ascii="仿宋" w:hAnsi="仿宋" w:eastAsia="仿宋" w:cs="仿宋"/>
          <w:b w:val="0"/>
          <w:bCs/>
          <w:color w:val="auto"/>
          <w:kern w:val="0"/>
          <w:sz w:val="32"/>
          <w:szCs w:val="32"/>
        </w:rPr>
        <w:t>201</w:t>
      </w:r>
      <w:r>
        <w:rPr>
          <w:rFonts w:hint="eastAsia" w:ascii="仿宋" w:hAnsi="仿宋" w:eastAsia="仿宋" w:cs="仿宋"/>
          <w:b w:val="0"/>
          <w:bCs/>
          <w:color w:val="auto"/>
          <w:kern w:val="0"/>
          <w:sz w:val="32"/>
          <w:szCs w:val="32"/>
          <w:lang w:val="en-US" w:eastAsia="zh-CN"/>
        </w:rPr>
        <w:t>9</w:t>
      </w:r>
      <w:r>
        <w:rPr>
          <w:rFonts w:hint="eastAsia" w:ascii="仿宋" w:hAnsi="仿宋" w:eastAsia="仿宋" w:cs="仿宋"/>
          <w:b w:val="0"/>
          <w:bCs/>
          <w:color w:val="auto"/>
          <w:kern w:val="0"/>
          <w:sz w:val="32"/>
          <w:szCs w:val="32"/>
        </w:rPr>
        <w:t>年为</w:t>
      </w:r>
      <w:r>
        <w:rPr>
          <w:rFonts w:hint="eastAsia" w:ascii="仿宋" w:hAnsi="仿宋" w:eastAsia="仿宋" w:cs="仿宋"/>
          <w:b w:val="0"/>
          <w:bCs/>
          <w:color w:val="auto"/>
          <w:kern w:val="0"/>
          <w:sz w:val="32"/>
          <w:szCs w:val="32"/>
          <w:lang w:val="en-US" w:eastAsia="zh-CN"/>
        </w:rPr>
        <w:t>438.02万</w:t>
      </w:r>
      <w:r>
        <w:rPr>
          <w:rFonts w:hint="eastAsia" w:ascii="仿宋" w:hAnsi="仿宋" w:eastAsia="仿宋" w:cs="仿宋"/>
          <w:b w:val="0"/>
          <w:bCs/>
          <w:color w:val="auto"/>
          <w:kern w:val="0"/>
          <w:sz w:val="32"/>
          <w:szCs w:val="32"/>
        </w:rPr>
        <w:t>元，同比</w:t>
      </w:r>
      <w:r>
        <w:rPr>
          <w:rFonts w:hint="eastAsia" w:ascii="仿宋" w:hAnsi="仿宋" w:eastAsia="仿宋" w:cs="仿宋"/>
          <w:b w:val="0"/>
          <w:bCs/>
          <w:color w:val="auto"/>
          <w:kern w:val="0"/>
          <w:sz w:val="32"/>
          <w:szCs w:val="32"/>
          <w:lang w:eastAsia="zh-CN"/>
        </w:rPr>
        <w:t>增加</w:t>
      </w:r>
      <w:r>
        <w:rPr>
          <w:rFonts w:hint="eastAsia" w:ascii="仿宋" w:hAnsi="仿宋" w:eastAsia="仿宋" w:cs="仿宋"/>
          <w:b w:val="0"/>
          <w:bCs/>
          <w:color w:val="auto"/>
          <w:kern w:val="0"/>
          <w:sz w:val="32"/>
          <w:szCs w:val="32"/>
          <w:lang w:val="en-US" w:eastAsia="zh-CN"/>
        </w:rPr>
        <w:t>204.55</w:t>
      </w:r>
      <w:r>
        <w:rPr>
          <w:rFonts w:hint="eastAsia" w:ascii="仿宋" w:hAnsi="仿宋" w:eastAsia="仿宋" w:cs="仿宋"/>
          <w:b w:val="0"/>
          <w:bCs/>
          <w:color w:val="auto"/>
          <w:kern w:val="0"/>
          <w:sz w:val="32"/>
          <w:szCs w:val="32"/>
        </w:rPr>
        <w:t>%。</w:t>
      </w:r>
      <w:r>
        <w:rPr>
          <w:rFonts w:hint="eastAsia" w:ascii="仿宋" w:hAnsi="仿宋" w:eastAsia="仿宋" w:cs="仿宋"/>
          <w:b w:val="0"/>
          <w:bCs/>
          <w:color w:val="auto"/>
          <w:kern w:val="0"/>
          <w:sz w:val="32"/>
          <w:szCs w:val="32"/>
          <w:lang w:val="en-US" w:eastAsia="zh-CN"/>
        </w:rPr>
        <w:t>主要由于区政府、区财政加大对人员工资、建设、资助、学前教育等项目的教育投入。</w:t>
      </w:r>
    </w:p>
    <w:p>
      <w:pPr>
        <w:widowControl/>
        <w:shd w:val="clear" w:color="auto" w:fill="FFFFFF"/>
        <w:ind w:firstLine="48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（四）关于政府采购支出说明</w:t>
      </w:r>
    </w:p>
    <w:p>
      <w:pPr>
        <w:widowControl/>
        <w:shd w:val="clear" w:color="auto" w:fill="FFFFFF"/>
        <w:ind w:firstLine="480"/>
        <w:jc w:val="left"/>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2020年</w:t>
      </w:r>
      <w:r>
        <w:rPr>
          <w:rFonts w:hint="eastAsia" w:asciiTheme="minorEastAsia" w:hAnsiTheme="minorEastAsia" w:eastAsiaTheme="minorEastAsia" w:cstheme="minorEastAsia"/>
          <w:sz w:val="28"/>
          <w:szCs w:val="28"/>
        </w:rPr>
        <w:t>度</w:t>
      </w:r>
      <w:r>
        <w:rPr>
          <w:rFonts w:hint="eastAsia" w:asciiTheme="minorEastAsia" w:hAnsiTheme="minorEastAsia" w:eastAsiaTheme="minorEastAsia" w:cstheme="minorEastAsia"/>
          <w:sz w:val="28"/>
          <w:szCs w:val="28"/>
          <w:lang w:eastAsia="zh-CN"/>
        </w:rPr>
        <w:t>无</w:t>
      </w:r>
      <w:r>
        <w:rPr>
          <w:rFonts w:hint="eastAsia" w:asciiTheme="minorEastAsia" w:hAnsiTheme="minorEastAsia" w:eastAsiaTheme="minorEastAsia" w:cstheme="minorEastAsia"/>
          <w:sz w:val="28"/>
          <w:szCs w:val="28"/>
        </w:rPr>
        <w:t>政府采购</w:t>
      </w:r>
      <w:r>
        <w:rPr>
          <w:rFonts w:hint="eastAsia" w:asciiTheme="minorEastAsia" w:hAnsiTheme="minorEastAsia" w:eastAsiaTheme="minorEastAsia" w:cstheme="minorEastAsia"/>
          <w:sz w:val="28"/>
          <w:szCs w:val="28"/>
          <w:lang w:eastAsia="zh-CN"/>
        </w:rPr>
        <w:t>。</w:t>
      </w:r>
    </w:p>
    <w:p>
      <w:pPr>
        <w:widowControl/>
        <w:shd w:val="clear" w:color="auto" w:fill="FFFFFF"/>
        <w:ind w:firstLine="48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（五）</w:t>
      </w:r>
      <w:r>
        <w:rPr>
          <w:rFonts w:hint="eastAsia" w:asciiTheme="minorEastAsia" w:hAnsiTheme="minorEastAsia" w:eastAsiaTheme="minorEastAsia" w:cstheme="minorEastAsia"/>
          <w:b/>
          <w:bCs/>
          <w:sz w:val="28"/>
          <w:szCs w:val="28"/>
        </w:rPr>
        <w:t>关于国有资产占用情况说明</w:t>
      </w:r>
    </w:p>
    <w:p>
      <w:pPr>
        <w:numPr>
          <w:ilvl w:val="0"/>
          <w:numId w:val="0"/>
        </w:numPr>
        <w:snapToGrid w:val="0"/>
        <w:spacing w:line="520" w:lineRule="exact"/>
        <w:ind w:firstLine="640" w:firstLineChars="200"/>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rPr>
        <w:t>201</w:t>
      </w:r>
      <w:r>
        <w:rPr>
          <w:rFonts w:hint="eastAsia" w:ascii="仿宋" w:hAnsi="仿宋" w:eastAsia="仿宋" w:cs="仿宋"/>
          <w:b w:val="0"/>
          <w:bCs w:val="0"/>
          <w:color w:val="auto"/>
          <w:kern w:val="0"/>
          <w:sz w:val="32"/>
          <w:szCs w:val="32"/>
          <w:lang w:val="en-US" w:eastAsia="zh-CN"/>
        </w:rPr>
        <w:t>7</w:t>
      </w:r>
      <w:r>
        <w:rPr>
          <w:rFonts w:hint="eastAsia" w:ascii="仿宋" w:hAnsi="仿宋" w:eastAsia="仿宋" w:cs="仿宋"/>
          <w:b w:val="0"/>
          <w:bCs w:val="0"/>
          <w:color w:val="auto"/>
          <w:kern w:val="0"/>
          <w:sz w:val="32"/>
          <w:szCs w:val="32"/>
        </w:rPr>
        <w:t>年</w:t>
      </w:r>
      <w:r>
        <w:rPr>
          <w:rFonts w:hint="eastAsia" w:ascii="仿宋" w:hAnsi="仿宋" w:eastAsia="仿宋" w:cs="仿宋"/>
          <w:b w:val="0"/>
          <w:bCs w:val="0"/>
          <w:color w:val="auto"/>
          <w:kern w:val="0"/>
          <w:sz w:val="32"/>
          <w:szCs w:val="32"/>
          <w:lang w:eastAsia="zh-CN"/>
        </w:rPr>
        <w:t>因</w:t>
      </w:r>
      <w:r>
        <w:rPr>
          <w:rFonts w:hint="eastAsia" w:ascii="仿宋" w:hAnsi="仿宋" w:eastAsia="仿宋" w:cs="仿宋"/>
          <w:b w:val="0"/>
          <w:bCs w:val="0"/>
          <w:color w:val="auto"/>
          <w:kern w:val="0"/>
          <w:sz w:val="32"/>
          <w:szCs w:val="32"/>
        </w:rPr>
        <w:t>公务车</w:t>
      </w:r>
      <w:r>
        <w:rPr>
          <w:rFonts w:hint="eastAsia" w:ascii="仿宋" w:hAnsi="仿宋" w:eastAsia="仿宋" w:cs="仿宋"/>
          <w:b w:val="0"/>
          <w:bCs w:val="0"/>
          <w:color w:val="auto"/>
          <w:kern w:val="0"/>
          <w:sz w:val="32"/>
          <w:szCs w:val="32"/>
          <w:lang w:eastAsia="zh-CN"/>
        </w:rPr>
        <w:t>改革</w:t>
      </w:r>
      <w:r>
        <w:rPr>
          <w:rFonts w:hint="eastAsia" w:ascii="仿宋" w:hAnsi="仿宋" w:eastAsia="仿宋" w:cs="仿宋"/>
          <w:b w:val="0"/>
          <w:bCs w:val="0"/>
          <w:color w:val="auto"/>
          <w:kern w:val="0"/>
          <w:sz w:val="32"/>
          <w:szCs w:val="32"/>
          <w:lang w:val="en-US" w:eastAsia="zh-CN"/>
        </w:rPr>
        <w:t>2020年</w:t>
      </w:r>
      <w:r>
        <w:rPr>
          <w:rFonts w:hint="eastAsia" w:ascii="仿宋" w:hAnsi="仿宋" w:eastAsia="仿宋" w:cs="仿宋"/>
          <w:b w:val="0"/>
          <w:bCs w:val="0"/>
          <w:color w:val="auto"/>
          <w:kern w:val="0"/>
          <w:sz w:val="32"/>
          <w:szCs w:val="32"/>
        </w:rPr>
        <w:t>公务车运行维护费</w:t>
      </w:r>
      <w:r>
        <w:rPr>
          <w:rFonts w:hint="eastAsia" w:ascii="仿宋" w:hAnsi="仿宋" w:eastAsia="仿宋" w:cs="仿宋"/>
          <w:b w:val="0"/>
          <w:bCs w:val="0"/>
          <w:color w:val="auto"/>
          <w:kern w:val="0"/>
          <w:sz w:val="32"/>
          <w:szCs w:val="32"/>
          <w:lang w:val="en-US" w:eastAsia="zh-CN"/>
        </w:rPr>
        <w:t>支出费用为零</w:t>
      </w:r>
      <w:r>
        <w:rPr>
          <w:rFonts w:hint="eastAsia" w:ascii="仿宋" w:hAnsi="仿宋" w:eastAsia="仿宋" w:cs="仿宋"/>
          <w:b w:val="0"/>
          <w:bCs w:val="0"/>
          <w:color w:val="auto"/>
          <w:kern w:val="0"/>
          <w:sz w:val="32"/>
          <w:szCs w:val="32"/>
        </w:rPr>
        <w:t>。</w:t>
      </w:r>
    </w:p>
    <w:p>
      <w:pPr>
        <w:widowControl/>
        <w:shd w:val="clear" w:color="auto" w:fill="FFFFFF"/>
        <w:ind w:firstLine="480"/>
        <w:jc w:val="lef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（六）重点绩效评价结果等预算绩效情况说明</w:t>
      </w:r>
    </w:p>
    <w:p>
      <w:pPr>
        <w:pStyle w:val="9"/>
        <w:spacing w:line="540" w:lineRule="exact"/>
        <w:ind w:firstLine="640" w:firstLineChars="200"/>
        <w:rPr>
          <w:rFonts w:hint="eastAsia" w:ascii="仿宋" w:hAnsi="仿宋" w:eastAsia="仿宋" w:cs="仿宋"/>
          <w:kern w:val="0"/>
          <w:sz w:val="32"/>
          <w:szCs w:val="32"/>
          <w:highlight w:val="none"/>
          <w:lang w:val="en-US" w:eastAsia="zh-CN" w:bidi="ar"/>
        </w:rPr>
      </w:pPr>
      <w:r>
        <w:rPr>
          <w:rFonts w:hint="eastAsia" w:ascii="仿宋" w:hAnsi="仿宋" w:eastAsia="仿宋" w:cs="仿宋"/>
          <w:kern w:val="0"/>
          <w:sz w:val="32"/>
          <w:szCs w:val="32"/>
          <w:highlight w:val="none"/>
          <w:lang w:val="en-US" w:eastAsia="zh-CN" w:bidi="ar"/>
        </w:rPr>
        <w:t>2020年，我单位本年度没有重点项目，因此未展开绩效评价。</w:t>
      </w:r>
    </w:p>
    <w:p>
      <w:pPr>
        <w:widowControl/>
        <w:shd w:val="clear" w:color="auto" w:fill="FFFFFF"/>
        <w:ind w:firstLine="480"/>
        <w:jc w:val="lef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（七）决算收支增减变化情况</w:t>
      </w:r>
    </w:p>
    <w:p>
      <w:pPr>
        <w:pStyle w:val="9"/>
        <w:spacing w:line="540" w:lineRule="exact"/>
        <w:ind w:firstLine="640" w:firstLineChars="200"/>
        <w:rPr>
          <w:rFonts w:hint="eastAsia" w:ascii="仿宋" w:hAnsi="仿宋" w:eastAsia="仿宋" w:cs="仿宋"/>
          <w:kern w:val="0"/>
          <w:sz w:val="32"/>
          <w:szCs w:val="32"/>
          <w:highlight w:val="none"/>
          <w:lang w:val="en-US" w:eastAsia="zh-CN" w:bidi="ar"/>
        </w:rPr>
      </w:pPr>
      <w:r>
        <w:rPr>
          <w:rFonts w:hint="eastAsia" w:ascii="仿宋" w:hAnsi="仿宋" w:eastAsia="仿宋" w:cs="仿宋"/>
          <w:kern w:val="0"/>
          <w:sz w:val="32"/>
          <w:szCs w:val="32"/>
          <w:highlight w:val="none"/>
          <w:lang w:val="en-US" w:eastAsia="zh-CN" w:bidi="ar"/>
        </w:rPr>
        <w:t>1、收入增减变化情况</w:t>
      </w:r>
    </w:p>
    <w:p>
      <w:pPr>
        <w:pStyle w:val="9"/>
        <w:spacing w:line="540" w:lineRule="exact"/>
        <w:ind w:firstLine="640" w:firstLineChars="200"/>
        <w:rPr>
          <w:rFonts w:hint="eastAsia" w:ascii="仿宋" w:hAnsi="仿宋" w:eastAsia="仿宋" w:cs="仿宋"/>
          <w:kern w:val="0"/>
          <w:sz w:val="32"/>
          <w:szCs w:val="32"/>
          <w:highlight w:val="none"/>
          <w:lang w:val="en-US" w:eastAsia="zh-CN" w:bidi="ar"/>
        </w:rPr>
      </w:pPr>
      <w:r>
        <w:rPr>
          <w:rFonts w:hint="eastAsia" w:ascii="仿宋" w:hAnsi="仿宋" w:eastAsia="仿宋" w:cs="仿宋"/>
          <w:kern w:val="0"/>
          <w:sz w:val="32"/>
          <w:szCs w:val="32"/>
          <w:highlight w:val="none"/>
          <w:lang w:val="en-US" w:eastAsia="zh-CN" w:bidi="ar"/>
        </w:rPr>
        <w:t>2019年全年总收入</w:t>
      </w:r>
      <w:r>
        <w:rPr>
          <w:rFonts w:hint="eastAsia" w:eastAsia="仿宋" w:cs="仿宋"/>
          <w:kern w:val="0"/>
          <w:sz w:val="32"/>
          <w:szCs w:val="32"/>
          <w:highlight w:val="none"/>
          <w:lang w:val="en-US" w:eastAsia="zh-CN" w:bidi="ar"/>
        </w:rPr>
        <w:t>1030.48万</w:t>
      </w:r>
      <w:r>
        <w:rPr>
          <w:rFonts w:hint="eastAsia" w:ascii="仿宋" w:hAnsi="仿宋" w:eastAsia="仿宋" w:cs="仿宋"/>
          <w:kern w:val="0"/>
          <w:sz w:val="32"/>
          <w:szCs w:val="32"/>
          <w:highlight w:val="none"/>
          <w:lang w:val="en-US" w:eastAsia="zh-CN" w:bidi="ar"/>
        </w:rPr>
        <w:t>元,2020年全年总收入</w:t>
      </w:r>
      <w:r>
        <w:rPr>
          <w:rFonts w:hint="eastAsia" w:eastAsia="仿宋" w:cs="仿宋"/>
          <w:kern w:val="0"/>
          <w:sz w:val="32"/>
          <w:szCs w:val="32"/>
          <w:highlight w:val="none"/>
          <w:lang w:val="en-US" w:eastAsia="zh-CN" w:bidi="ar"/>
        </w:rPr>
        <w:t>1896.19万</w:t>
      </w:r>
      <w:r>
        <w:rPr>
          <w:rFonts w:hint="eastAsia" w:ascii="仿宋" w:hAnsi="仿宋" w:eastAsia="仿宋" w:cs="仿宋"/>
          <w:kern w:val="0"/>
          <w:sz w:val="32"/>
          <w:szCs w:val="32"/>
          <w:highlight w:val="none"/>
          <w:lang w:val="en-US" w:eastAsia="zh-CN" w:bidi="ar"/>
        </w:rPr>
        <w:t>元，同比上年增加</w:t>
      </w:r>
      <w:r>
        <w:rPr>
          <w:rFonts w:hint="eastAsia" w:eastAsia="仿宋" w:cs="仿宋"/>
          <w:kern w:val="0"/>
          <w:sz w:val="32"/>
          <w:szCs w:val="32"/>
          <w:highlight w:val="none"/>
          <w:lang w:val="en-US" w:eastAsia="zh-CN" w:bidi="ar"/>
        </w:rPr>
        <w:t>865.71万</w:t>
      </w:r>
      <w:r>
        <w:rPr>
          <w:rFonts w:hint="eastAsia" w:ascii="仿宋" w:hAnsi="仿宋" w:eastAsia="仿宋" w:cs="仿宋"/>
          <w:kern w:val="0"/>
          <w:sz w:val="32"/>
          <w:szCs w:val="32"/>
          <w:highlight w:val="none"/>
          <w:lang w:val="en-US" w:eastAsia="zh-CN" w:bidi="ar"/>
        </w:rPr>
        <w:t>元，原因是业务量增加。</w:t>
      </w:r>
    </w:p>
    <w:p>
      <w:pPr>
        <w:pStyle w:val="9"/>
        <w:spacing w:line="540" w:lineRule="exact"/>
        <w:ind w:firstLine="640" w:firstLineChars="200"/>
        <w:rPr>
          <w:rFonts w:hint="eastAsia" w:ascii="仿宋" w:hAnsi="仿宋" w:eastAsia="仿宋" w:cs="仿宋"/>
          <w:kern w:val="0"/>
          <w:sz w:val="32"/>
          <w:szCs w:val="32"/>
          <w:highlight w:val="none"/>
          <w:lang w:val="en-US" w:eastAsia="zh-CN" w:bidi="ar"/>
        </w:rPr>
      </w:pPr>
      <w:r>
        <w:rPr>
          <w:rFonts w:hint="eastAsia" w:ascii="仿宋" w:hAnsi="仿宋" w:eastAsia="仿宋" w:cs="仿宋"/>
          <w:kern w:val="0"/>
          <w:sz w:val="32"/>
          <w:szCs w:val="32"/>
          <w:highlight w:val="none"/>
          <w:lang w:val="en-US" w:eastAsia="zh-CN" w:bidi="ar"/>
        </w:rPr>
        <w:t>2、支出增减变化情况</w:t>
      </w:r>
    </w:p>
    <w:p>
      <w:pPr>
        <w:pStyle w:val="9"/>
        <w:spacing w:line="540" w:lineRule="exact"/>
        <w:ind w:firstLine="640" w:firstLineChars="200"/>
        <w:rPr>
          <w:rFonts w:hint="eastAsia" w:asciiTheme="minorEastAsia" w:hAnsiTheme="minorEastAsia" w:eastAsiaTheme="minorEastAsia" w:cstheme="minorEastAsia"/>
          <w:sz w:val="28"/>
          <w:szCs w:val="28"/>
        </w:rPr>
      </w:pPr>
      <w:r>
        <w:rPr>
          <w:rFonts w:hint="eastAsia" w:ascii="仿宋" w:hAnsi="仿宋" w:eastAsia="仿宋" w:cs="仿宋"/>
          <w:kern w:val="0"/>
          <w:sz w:val="32"/>
          <w:szCs w:val="32"/>
          <w:highlight w:val="none"/>
          <w:lang w:val="en-US" w:eastAsia="zh-CN" w:bidi="ar"/>
        </w:rPr>
        <w:t>2019年全年总支出</w:t>
      </w:r>
      <w:r>
        <w:rPr>
          <w:rFonts w:hint="eastAsia" w:eastAsia="仿宋" w:cs="仿宋"/>
          <w:kern w:val="0"/>
          <w:sz w:val="32"/>
          <w:szCs w:val="32"/>
          <w:highlight w:val="none"/>
          <w:lang w:val="en-US" w:eastAsia="zh-CN" w:bidi="ar"/>
        </w:rPr>
        <w:t>1030.48万</w:t>
      </w:r>
      <w:r>
        <w:rPr>
          <w:rFonts w:hint="eastAsia" w:ascii="仿宋" w:hAnsi="仿宋" w:eastAsia="仿宋" w:cs="仿宋"/>
          <w:kern w:val="0"/>
          <w:sz w:val="32"/>
          <w:szCs w:val="32"/>
          <w:highlight w:val="none"/>
          <w:lang w:val="en-US" w:eastAsia="zh-CN" w:bidi="ar"/>
        </w:rPr>
        <w:t>元,2020年全年总支出</w:t>
      </w:r>
      <w:r>
        <w:rPr>
          <w:rFonts w:hint="eastAsia" w:eastAsia="仿宋" w:cs="仿宋"/>
          <w:kern w:val="0"/>
          <w:sz w:val="32"/>
          <w:szCs w:val="32"/>
          <w:highlight w:val="none"/>
          <w:lang w:val="en-US" w:eastAsia="zh-CN" w:bidi="ar"/>
        </w:rPr>
        <w:t>1896.19万</w:t>
      </w:r>
      <w:r>
        <w:rPr>
          <w:rFonts w:hint="eastAsia" w:ascii="仿宋" w:hAnsi="仿宋" w:eastAsia="仿宋" w:cs="仿宋"/>
          <w:kern w:val="0"/>
          <w:sz w:val="32"/>
          <w:szCs w:val="32"/>
          <w:highlight w:val="none"/>
          <w:lang w:val="en-US" w:eastAsia="zh-CN" w:bidi="ar"/>
        </w:rPr>
        <w:t>元，同比上年增加</w:t>
      </w:r>
      <w:r>
        <w:rPr>
          <w:rFonts w:hint="eastAsia" w:eastAsia="仿宋" w:cs="仿宋"/>
          <w:kern w:val="0"/>
          <w:sz w:val="32"/>
          <w:szCs w:val="32"/>
          <w:highlight w:val="none"/>
          <w:lang w:val="en-US" w:eastAsia="zh-CN" w:bidi="ar"/>
        </w:rPr>
        <w:t>865.71万</w:t>
      </w:r>
      <w:r>
        <w:rPr>
          <w:rFonts w:hint="eastAsia" w:ascii="仿宋" w:hAnsi="仿宋" w:eastAsia="仿宋" w:cs="仿宋"/>
          <w:kern w:val="0"/>
          <w:sz w:val="32"/>
          <w:szCs w:val="32"/>
          <w:highlight w:val="none"/>
          <w:lang w:val="en-US" w:eastAsia="zh-CN" w:bidi="ar"/>
        </w:rPr>
        <w:t>元，原因是业务量增加。</w:t>
      </w:r>
      <w:bookmarkStart w:id="0" w:name="_GoBack"/>
      <w:bookmarkEnd w:id="0"/>
    </w:p>
    <w:p>
      <w:pPr>
        <w:widowControl/>
        <w:shd w:val="clear" w:color="auto" w:fill="FFFFFF"/>
        <w:ind w:firstLine="480"/>
        <w:jc w:val="left"/>
        <w:rPr>
          <w:rFonts w:hint="eastAsia" w:asciiTheme="minorEastAsia" w:hAnsiTheme="minorEastAsia" w:eastAsiaTheme="minorEastAsia" w:cstheme="minorEastAsia"/>
          <w:sz w:val="28"/>
          <w:szCs w:val="28"/>
        </w:rPr>
      </w:pPr>
    </w:p>
    <w:p>
      <w:pPr>
        <w:widowControl/>
        <w:shd w:val="clear" w:color="auto" w:fill="FFFFFF"/>
        <w:ind w:firstLine="480"/>
        <w:jc w:val="left"/>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第四部分</w:t>
      </w:r>
      <w:r>
        <w:rPr>
          <w:rFonts w:hint="eastAsia" w:ascii="微软雅黑" w:hAnsi="微软雅黑" w:eastAsia="微软雅黑" w:cs="微软雅黑"/>
          <w:b/>
          <w:bCs/>
          <w:sz w:val="24"/>
          <w:szCs w:val="24"/>
          <w:lang w:val="en-US" w:eastAsia="zh-CN"/>
        </w:rPr>
        <w:t xml:space="preserve"> </w:t>
      </w:r>
      <w:r>
        <w:rPr>
          <w:rFonts w:hint="eastAsia" w:ascii="微软雅黑" w:hAnsi="微软雅黑" w:eastAsia="微软雅黑" w:cs="微软雅黑"/>
          <w:b/>
          <w:bCs/>
          <w:sz w:val="24"/>
          <w:szCs w:val="24"/>
        </w:rPr>
        <w:t>名词解释</w:t>
      </w:r>
    </w:p>
    <w:p>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一、财政补助收入：指县级财政当年拨付的资金。</w:t>
      </w:r>
    </w:p>
    <w:p>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二、其他收入：指除“财政拨款收入”、“上级补助收入”、“事业收入”、“经营收入”等以外的收入。主要是存款利息收入等。</w:t>
      </w:r>
    </w:p>
    <w:p>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三、年初结转和结余：指以前年度尚未完成、结转到本年按有关规定继续使用的资金。</w:t>
      </w:r>
    </w:p>
    <w:p>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四、一般公共服务（类）行政运行（项）：指县行政单位及参照公务员管理事业单位用于保障机构正常运行、开展日常工作的基本支出。</w:t>
      </w:r>
    </w:p>
    <w:p>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五、一般公共服务（类）一般行政管理事务（项）：指县行政单位及参照公务员管理事业单位用于开展立法调研、财政信息宣传、非税收入征管等未单独设置项级科目的专门性财政管理工作的项目支出。</w:t>
      </w:r>
    </w:p>
    <w:p>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六、一般公共服务（类）机关服务（项）：指县</w:t>
      </w:r>
      <w:r>
        <w:rPr>
          <w:rFonts w:hint="eastAsia" w:asciiTheme="minorEastAsia" w:hAnsiTheme="minorEastAsia" w:eastAsiaTheme="minorEastAsia" w:cstheme="minorEastAsia"/>
          <w:sz w:val="28"/>
          <w:szCs w:val="28"/>
          <w:lang w:eastAsia="zh-CN"/>
        </w:rPr>
        <w:t>黄石港区教育局</w:t>
      </w:r>
      <w:r>
        <w:rPr>
          <w:rFonts w:hint="eastAsia" w:asciiTheme="minorEastAsia" w:hAnsiTheme="minorEastAsia" w:eastAsiaTheme="minorEastAsia" w:cstheme="minorEastAsia"/>
          <w:sz w:val="28"/>
          <w:szCs w:val="28"/>
        </w:rPr>
        <w:t>服务中心为机关提供办公楼日常维修、维护等后勤保障服务的支出。</w:t>
      </w:r>
    </w:p>
    <w:p>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七、一般公共服务（类）其他一般公共服务支出（款）其他一般公共服务支出（项）：指</w:t>
      </w:r>
      <w:r>
        <w:rPr>
          <w:rFonts w:hint="eastAsia" w:asciiTheme="minorEastAsia" w:hAnsiTheme="minorEastAsia" w:eastAsiaTheme="minorEastAsia" w:cstheme="minorEastAsia"/>
          <w:sz w:val="28"/>
          <w:szCs w:val="28"/>
          <w:lang w:eastAsia="zh-CN"/>
        </w:rPr>
        <w:t>黄石港区教育局</w:t>
      </w:r>
      <w:r>
        <w:rPr>
          <w:rFonts w:hint="eastAsia" w:asciiTheme="minorEastAsia" w:hAnsiTheme="minorEastAsia" w:eastAsiaTheme="minorEastAsia" w:cstheme="minorEastAsia"/>
          <w:sz w:val="28"/>
          <w:szCs w:val="28"/>
        </w:rPr>
        <w:t>用于其他一般公共服务方面的支出。</w:t>
      </w:r>
    </w:p>
    <w:p>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八、教育（类）普通教育（款）高等教育（项）：指</w:t>
      </w:r>
      <w:r>
        <w:rPr>
          <w:rFonts w:hint="eastAsia" w:asciiTheme="minorEastAsia" w:hAnsiTheme="minorEastAsia" w:eastAsiaTheme="minorEastAsia" w:cstheme="minorEastAsia"/>
          <w:sz w:val="28"/>
          <w:szCs w:val="28"/>
          <w:lang w:eastAsia="zh-CN"/>
        </w:rPr>
        <w:t>黄石港区教育局</w:t>
      </w:r>
      <w:r>
        <w:rPr>
          <w:rFonts w:hint="eastAsia" w:asciiTheme="minorEastAsia" w:hAnsiTheme="minorEastAsia" w:eastAsiaTheme="minorEastAsia" w:cstheme="minorEastAsia"/>
          <w:sz w:val="28"/>
          <w:szCs w:val="28"/>
        </w:rPr>
        <w:t>厅支持地方高校的重点发展和特色办学，组织专家对省属院校申报的建设规划和项目预算进行评审等相关工作的支出。</w:t>
      </w:r>
    </w:p>
    <w:p>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九、社会保障和就业(类)行政事业单位离退休（款）归口管理的行政单位离退休（项）：指</w:t>
      </w:r>
      <w:r>
        <w:rPr>
          <w:rFonts w:hint="eastAsia" w:asciiTheme="minorEastAsia" w:hAnsiTheme="minorEastAsia" w:eastAsiaTheme="minorEastAsia" w:cstheme="minorEastAsia"/>
          <w:sz w:val="28"/>
          <w:szCs w:val="28"/>
          <w:lang w:eastAsia="zh-CN"/>
        </w:rPr>
        <w:t>黄石港区教育局</w:t>
      </w:r>
      <w:r>
        <w:rPr>
          <w:rFonts w:hint="eastAsia" w:asciiTheme="minorEastAsia" w:hAnsiTheme="minorEastAsia" w:eastAsiaTheme="minorEastAsia" w:cstheme="minorEastAsia"/>
          <w:sz w:val="28"/>
          <w:szCs w:val="28"/>
        </w:rPr>
        <w:t>用于离退休人员的支出、退休人员支出，以及提供管理服务工作的离退休干部处的支出。</w:t>
      </w:r>
    </w:p>
    <w:p>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十、社会保障和就业(类)行政事业单位离退休（款）其他行政事业单位离退休支出（项）：指</w:t>
      </w:r>
      <w:r>
        <w:rPr>
          <w:rFonts w:hint="eastAsia" w:asciiTheme="minorEastAsia" w:hAnsiTheme="minorEastAsia" w:eastAsiaTheme="minorEastAsia" w:cstheme="minorEastAsia"/>
          <w:sz w:val="28"/>
          <w:szCs w:val="28"/>
          <w:lang w:eastAsia="zh-CN"/>
        </w:rPr>
        <w:t>黄石港区教育局</w:t>
      </w:r>
      <w:r>
        <w:rPr>
          <w:rFonts w:hint="eastAsia" w:asciiTheme="minorEastAsia" w:hAnsiTheme="minorEastAsia" w:eastAsiaTheme="minorEastAsia" w:cstheme="minorEastAsia"/>
          <w:sz w:val="28"/>
          <w:szCs w:val="28"/>
        </w:rPr>
        <w:t>用于离退休方面的其他支出。</w:t>
      </w:r>
    </w:p>
    <w:p>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十一、医疗卫生与计划生育（类）医疗保障（款）行政单位医疗（项）：指</w:t>
      </w:r>
      <w:r>
        <w:rPr>
          <w:rFonts w:hint="eastAsia" w:asciiTheme="minorEastAsia" w:hAnsiTheme="minorEastAsia" w:eastAsiaTheme="minorEastAsia" w:cstheme="minorEastAsia"/>
          <w:sz w:val="28"/>
          <w:szCs w:val="28"/>
          <w:lang w:eastAsia="zh-CN"/>
        </w:rPr>
        <w:t>黄石港区教育局</w:t>
      </w:r>
      <w:r>
        <w:rPr>
          <w:rFonts w:hint="eastAsia" w:asciiTheme="minorEastAsia" w:hAnsiTheme="minorEastAsia" w:eastAsiaTheme="minorEastAsia" w:cstheme="minorEastAsia"/>
          <w:sz w:val="28"/>
          <w:szCs w:val="28"/>
        </w:rPr>
        <w:t>用于机关干部职工及离退休人员医疗方面的支出。</w:t>
      </w:r>
    </w:p>
    <w:p>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十二、住房保障（类）住房改革支出（款）购房补贴（项）：指按照相关住房分配货币化改革的政策规定和标准，对无房和住房未达标职工发放的住房分配货币化补贴资金。</w:t>
      </w:r>
    </w:p>
    <w:p>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十三、年末结转和结余：指本年度或以前年度预算安排、因客观条件发生变化无法按原计划实施，需要延迟到以后年度按有关规定继续使用的资金。</w:t>
      </w:r>
    </w:p>
    <w:p>
      <w:pPr>
        <w:widowControl/>
        <w:shd w:val="clear" w:color="auto" w:fill="FFFFFF"/>
        <w:ind w:firstLine="480"/>
        <w:jc w:val="left"/>
        <w:rPr>
          <w:rFonts w:hint="eastAsia" w:ascii="宋体" w:hAnsi="宋体" w:cs="宋体"/>
          <w:sz w:val="28"/>
          <w:szCs w:val="28"/>
        </w:rPr>
      </w:pPr>
      <w:r>
        <w:rPr>
          <w:rFonts w:hint="eastAsia" w:ascii="宋体" w:hAnsi="宋体" w:cs="宋体"/>
          <w:sz w:val="28"/>
          <w:szCs w:val="28"/>
        </w:rPr>
        <w:t>十四、基本支出：指为保障机构正常运转、完成日常工作任务而发生的人员支出（包括基本工资、津贴补贴等）和公用支出（包括办公费、水电费、邮电费、交通费、差旅费等）。</w:t>
      </w:r>
    </w:p>
    <w:p>
      <w:pPr>
        <w:widowControl/>
        <w:shd w:val="clear" w:color="auto" w:fill="FFFFFF"/>
        <w:ind w:firstLine="480"/>
        <w:jc w:val="left"/>
        <w:rPr>
          <w:rFonts w:hint="eastAsia" w:ascii="宋体" w:hAnsi="宋体" w:cs="宋体"/>
          <w:sz w:val="28"/>
          <w:szCs w:val="28"/>
        </w:rPr>
      </w:pPr>
      <w:r>
        <w:rPr>
          <w:rFonts w:hint="eastAsia" w:ascii="宋体" w:hAnsi="宋体" w:cs="宋体"/>
          <w:sz w:val="28"/>
          <w:szCs w:val="28"/>
        </w:rPr>
        <w:t>十五、项目支出：指在基本支出之外为完成特定行政任务和事业发展目标所发生的支出。</w:t>
      </w:r>
    </w:p>
    <w:p>
      <w:pPr>
        <w:widowControl/>
        <w:shd w:val="clear" w:color="auto" w:fill="FFFFFF"/>
        <w:ind w:firstLine="480"/>
        <w:jc w:val="left"/>
        <w:rPr>
          <w:rFonts w:hint="eastAsia" w:ascii="宋体" w:hAnsi="宋体" w:cs="宋体"/>
          <w:sz w:val="28"/>
          <w:szCs w:val="28"/>
        </w:rPr>
      </w:pPr>
      <w:r>
        <w:rPr>
          <w:rFonts w:hint="eastAsia" w:ascii="宋体" w:hAnsi="宋体" w:cs="宋体"/>
          <w:sz w:val="28"/>
          <w:szCs w:val="28"/>
        </w:rPr>
        <w:t>十六、“三公”经费：是指用财政拨款安排的因公出国（境）费、公务用车购置及运行维护费、公务接待费。</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52314"/>
    <w:multiLevelType w:val="singleLevel"/>
    <w:tmpl w:val="0AB52314"/>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C3AB2"/>
    <w:rsid w:val="061755B8"/>
    <w:rsid w:val="06594F7B"/>
    <w:rsid w:val="0664587B"/>
    <w:rsid w:val="06B22614"/>
    <w:rsid w:val="08B254E7"/>
    <w:rsid w:val="09C63D6E"/>
    <w:rsid w:val="09FF39B4"/>
    <w:rsid w:val="10B866C0"/>
    <w:rsid w:val="11411182"/>
    <w:rsid w:val="121B5494"/>
    <w:rsid w:val="133520AB"/>
    <w:rsid w:val="14436AD0"/>
    <w:rsid w:val="14B5642B"/>
    <w:rsid w:val="14E22096"/>
    <w:rsid w:val="17D27B3C"/>
    <w:rsid w:val="17E64573"/>
    <w:rsid w:val="18DA7A6C"/>
    <w:rsid w:val="1C6C51C9"/>
    <w:rsid w:val="252264F0"/>
    <w:rsid w:val="255E033E"/>
    <w:rsid w:val="2CCE2491"/>
    <w:rsid w:val="2D303236"/>
    <w:rsid w:val="2F1752B4"/>
    <w:rsid w:val="34661F77"/>
    <w:rsid w:val="350D3531"/>
    <w:rsid w:val="35325477"/>
    <w:rsid w:val="35727B9F"/>
    <w:rsid w:val="362364C6"/>
    <w:rsid w:val="36CA42E2"/>
    <w:rsid w:val="37213D8B"/>
    <w:rsid w:val="37217F7C"/>
    <w:rsid w:val="37226EE1"/>
    <w:rsid w:val="3ABC1951"/>
    <w:rsid w:val="40AB6EF9"/>
    <w:rsid w:val="41A819CB"/>
    <w:rsid w:val="43F64A66"/>
    <w:rsid w:val="47446C8A"/>
    <w:rsid w:val="4BBE3A5C"/>
    <w:rsid w:val="4C5F5643"/>
    <w:rsid w:val="4E6609CB"/>
    <w:rsid w:val="50EB0475"/>
    <w:rsid w:val="51202C66"/>
    <w:rsid w:val="55B04349"/>
    <w:rsid w:val="57550B8B"/>
    <w:rsid w:val="5D6B041A"/>
    <w:rsid w:val="6173459D"/>
    <w:rsid w:val="621B3808"/>
    <w:rsid w:val="6514543C"/>
    <w:rsid w:val="67A14D77"/>
    <w:rsid w:val="73244D3F"/>
    <w:rsid w:val="746766E2"/>
    <w:rsid w:val="78186405"/>
    <w:rsid w:val="7F9E68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Body Text Indent"/>
    <w:basedOn w:val="1"/>
    <w:qFormat/>
    <w:uiPriority w:val="0"/>
    <w:pPr>
      <w:spacing w:line="500" w:lineRule="exact"/>
      <w:ind w:firstLine="640" w:firstLineChars="200"/>
    </w:pPr>
    <w:rPr>
      <w:rFonts w:ascii="宋体"/>
      <w:sz w:val="32"/>
    </w:rPr>
  </w:style>
  <w:style w:type="paragraph" w:styleId="4">
    <w:name w:val="Plain Text"/>
    <w:basedOn w:val="1"/>
    <w:qFormat/>
    <w:uiPriority w:val="0"/>
    <w:rPr>
      <w:rFonts w:ascii="宋体" w:hAnsi="Courier New" w:cs="Courier New"/>
      <w:szCs w:val="21"/>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9">
    <w:name w:val="正文缩进 + 首行缩进:  2 字符"/>
    <w:basedOn w:val="1"/>
    <w:qFormat/>
    <w:uiPriority w:val="0"/>
    <w:pPr>
      <w:spacing w:line="560" w:lineRule="exact"/>
      <w:ind w:firstLine="640"/>
    </w:pPr>
    <w:rPr>
      <w:rFonts w:ascii="仿宋" w:hAnsi="仿宋" w:cs="宋体"/>
      <w:sz w:val="32"/>
      <w:szCs w:val="32"/>
    </w:rPr>
  </w:style>
  <w:style w:type="character" w:customStyle="1" w:styleId="10">
    <w:name w:val="ca-2"/>
    <w:basedOn w:val="6"/>
    <w:qFormat/>
    <w:uiPriority w:val="0"/>
  </w:style>
  <w:style w:type="paragraph" w:customStyle="1" w:styleId="11">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gg</dc:creator>
  <cp:lastModifiedBy>Administrator</cp:lastModifiedBy>
  <dcterms:modified xsi:type="dcterms:W3CDTF">2021-09-15T00:57:54Z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A74B3D40507049C4A03AD7C71EB4BB6D</vt:lpwstr>
  </property>
</Properties>
</file>