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黄石市老虎头小学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黄石市老虎头小学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黄石市老虎头小学</w:t>
      </w:r>
      <w:r>
        <w:rPr>
          <w:rFonts w:hint="eastAsia" w:ascii="宋体" w:hAnsi="宋体" w:cs="宋体"/>
          <w:sz w:val="28"/>
          <w:szCs w:val="28"/>
        </w:rPr>
        <w:t>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line="560" w:lineRule="atLeast"/>
        <w:ind w:firstLine="560"/>
        <w:jc w:val="left"/>
        <w:rPr>
          <w:rFonts w:hint="eastAsia" w:ascii="宋体" w:hAnsi="宋体" w:cs="宋体"/>
          <w:kern w:val="0"/>
          <w:sz w:val="28"/>
          <w:szCs w:val="28"/>
        </w:rPr>
      </w:pPr>
      <w:r>
        <w:rPr>
          <w:rFonts w:hint="eastAsia" w:ascii="宋体" w:hAnsi="宋体" w:cs="宋体"/>
          <w:kern w:val="0"/>
          <w:sz w:val="28"/>
          <w:szCs w:val="28"/>
        </w:rPr>
        <w:t>事业编制人员数为47人，聘用人员47人，实有在职人数为94人。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黄石市老虎头小学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5749265</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5749265</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5749265</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5749265</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5749265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5749265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5749265</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5749265</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5749265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5749265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5749265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5749265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5749265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5749265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5749265</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5749265</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5749265</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5749265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5749265</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5749265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5749265</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5749265</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5749265</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5749265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5749265</w:t>
            </w:r>
          </w:p>
        </w:tc>
        <w:tc>
          <w:tcPr>
            <w:tcW w:w="1815" w:type="dxa"/>
            <w:vAlign w:val="center"/>
          </w:tcPr>
          <w:p>
            <w:pPr>
              <w:widowControl/>
              <w:jc w:val="center"/>
            </w:pPr>
            <w:r>
              <w:rPr>
                <w:rFonts w:hint="eastAsia" w:ascii="宋体" w:hAnsi="宋体" w:cs="宋体"/>
                <w:kern w:val="0"/>
                <w:sz w:val="24"/>
                <w:lang w:val="en-US" w:eastAsia="zh-CN"/>
              </w:rPr>
              <w:t>5749265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5749265</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5749265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黄石市老虎头小学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5749264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4876118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4876118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1988449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1988449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1211900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1211900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1281503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1281503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374266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374266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470096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470096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170064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170064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113760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113760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64832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64832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121440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121440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403050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403050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403050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403050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5749265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4876118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470096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403050元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5749265</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4876385</w:t>
      </w:r>
      <w:r>
        <w:rPr>
          <w:rFonts w:hint="eastAsia" w:ascii="宋体" w:hAnsi="宋体" w:cs="宋体"/>
          <w:sz w:val="28"/>
          <w:szCs w:val="28"/>
          <w:lang w:eastAsia="zh-CN"/>
        </w:rPr>
        <w:t>元增加</w:t>
      </w:r>
      <w:r>
        <w:rPr>
          <w:rFonts w:hint="eastAsia" w:ascii="宋体" w:hAnsi="宋体" w:cs="宋体"/>
          <w:sz w:val="28"/>
          <w:szCs w:val="28"/>
          <w:lang w:val="en-US" w:eastAsia="zh-CN"/>
        </w:rPr>
        <w:t>872880</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46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10219</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470096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46</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170064</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2362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140064</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9480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113760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121440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46</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121440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3241600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64832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bookmarkStart w:id="0" w:name="_GoBack"/>
      <w:bookmarkEnd w:id="0"/>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BB97AB6"/>
    <w:rsid w:val="3FFA23C8"/>
    <w:rsid w:val="427C71A0"/>
    <w:rsid w:val="427D7F02"/>
    <w:rsid w:val="456F28A2"/>
    <w:rsid w:val="46F70386"/>
    <w:rsid w:val="4873326C"/>
    <w:rsid w:val="4AA53B74"/>
    <w:rsid w:val="4B0525FC"/>
    <w:rsid w:val="4F472EA9"/>
    <w:rsid w:val="5276341A"/>
    <w:rsid w:val="53BB4C1E"/>
    <w:rsid w:val="55403DF7"/>
    <w:rsid w:val="55772D74"/>
    <w:rsid w:val="55ED6506"/>
    <w:rsid w:val="582D2750"/>
    <w:rsid w:val="5FAA5B11"/>
    <w:rsid w:val="61A503AF"/>
    <w:rsid w:val="62A94F66"/>
    <w:rsid w:val="6475535B"/>
    <w:rsid w:val="65286313"/>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2019-10-28T08:09:51Z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