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Fonts w:hint="eastAsia" w:ascii="微软雅黑" w:hAnsi="微软雅黑" w:eastAsia="微软雅黑" w:cs="微软雅黑"/>
          <w:b/>
          <w:i w:val="0"/>
          <w:caps w:val="0"/>
          <w:color w:val="BC1010"/>
          <w:spacing w:val="0"/>
          <w:sz w:val="40"/>
          <w:szCs w:val="40"/>
          <w:shd w:val="clear" w:fill="FFFFFF"/>
          <w:lang w:eastAsia="zh-CN"/>
        </w:rPr>
      </w:pPr>
      <w:r>
        <w:rPr>
          <w:rFonts w:hint="eastAsia" w:ascii="微软雅黑" w:hAnsi="微软雅黑" w:eastAsia="微软雅黑" w:cs="微软雅黑"/>
          <w:b/>
          <w:i w:val="0"/>
          <w:caps w:val="0"/>
          <w:color w:val="BC1010"/>
          <w:spacing w:val="0"/>
          <w:sz w:val="40"/>
          <w:szCs w:val="40"/>
          <w:shd w:val="clear" w:fill="FFFFFF"/>
          <w:lang w:eastAsia="zh-CN"/>
        </w:rPr>
        <w:t>黄石市武汉路小学20</w:t>
      </w:r>
      <w:r>
        <w:rPr>
          <w:rFonts w:hint="eastAsia" w:ascii="微软雅黑" w:hAnsi="微软雅黑" w:eastAsia="微软雅黑" w:cs="微软雅黑"/>
          <w:b/>
          <w:i w:val="0"/>
          <w:caps w:val="0"/>
          <w:color w:val="BC1010"/>
          <w:spacing w:val="0"/>
          <w:sz w:val="40"/>
          <w:szCs w:val="40"/>
          <w:shd w:val="clear" w:fill="FFFFFF"/>
          <w:lang w:val="en-US" w:eastAsia="zh-CN"/>
        </w:rPr>
        <w:t>20</w:t>
      </w:r>
      <w:r>
        <w:rPr>
          <w:rFonts w:hint="eastAsia" w:ascii="微软雅黑" w:hAnsi="微软雅黑" w:eastAsia="微软雅黑" w:cs="微软雅黑"/>
          <w:b/>
          <w:i w:val="0"/>
          <w:caps w:val="0"/>
          <w:color w:val="BC1010"/>
          <w:spacing w:val="0"/>
          <w:sz w:val="40"/>
          <w:szCs w:val="40"/>
          <w:shd w:val="clear" w:fill="FFFFFF"/>
          <w:lang w:eastAsia="zh-CN"/>
        </w:rPr>
        <w:t>年决算公开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9"/>
          <w:rFonts w:hint="eastAsia" w:ascii="微软雅黑" w:hAnsi="微软雅黑" w:eastAsia="微软雅黑" w:cs="微软雅黑"/>
          <w:i w:val="0"/>
          <w:caps w:val="0"/>
          <w:color w:val="333333"/>
          <w:spacing w:val="0"/>
          <w:sz w:val="24"/>
          <w:szCs w:val="24"/>
          <w:shd w:val="clear" w:fill="FFFFFF"/>
          <w:lang w:eastAsia="zh-CN"/>
        </w:rPr>
      </w:pPr>
      <w:r>
        <w:rPr>
          <w:rStyle w:val="9"/>
          <w:rFonts w:hint="eastAsia" w:ascii="微软雅黑" w:hAnsi="微软雅黑" w:eastAsia="微软雅黑" w:cs="微软雅黑"/>
          <w:i w:val="0"/>
          <w:caps w:val="0"/>
          <w:color w:val="333333"/>
          <w:spacing w:val="0"/>
          <w:sz w:val="24"/>
          <w:szCs w:val="24"/>
          <w:shd w:val="clear" w:fill="FFFFFF"/>
          <w:lang w:eastAsia="zh-CN"/>
        </w:rPr>
        <w:t>黄石市武汉路小学20</w:t>
      </w:r>
      <w:r>
        <w:rPr>
          <w:rStyle w:val="9"/>
          <w:rFonts w:hint="eastAsia" w:ascii="微软雅黑" w:hAnsi="微软雅黑" w:eastAsia="微软雅黑" w:cs="微软雅黑"/>
          <w:i w:val="0"/>
          <w:caps w:val="0"/>
          <w:color w:val="333333"/>
          <w:spacing w:val="0"/>
          <w:sz w:val="24"/>
          <w:szCs w:val="24"/>
          <w:shd w:val="clear" w:fill="FFFFFF"/>
          <w:lang w:val="en-US" w:eastAsia="zh-CN"/>
        </w:rPr>
        <w:t>20</w:t>
      </w:r>
      <w:r>
        <w:rPr>
          <w:rStyle w:val="9"/>
          <w:rFonts w:hint="eastAsia" w:ascii="微软雅黑" w:hAnsi="微软雅黑" w:eastAsia="微软雅黑" w:cs="微软雅黑"/>
          <w:i w:val="0"/>
          <w:caps w:val="0"/>
          <w:color w:val="333333"/>
          <w:spacing w:val="0"/>
          <w:sz w:val="24"/>
          <w:szCs w:val="24"/>
          <w:shd w:val="clear" w:fill="FFFFFF"/>
          <w:lang w:eastAsia="zh-CN"/>
        </w:rPr>
        <w:t>年决算公开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rPr>
        <w:t>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80" w:firstLineChars="20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rPr>
        <w:t>年部门决算情况说明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widowControl/>
        <w:spacing w:before="76" w:beforeAutospacing="0" w:after="76" w:afterAutospacing="0" w:line="450" w:lineRule="atLeast"/>
        <w:ind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6"/>
        <w:widowControl/>
        <w:spacing w:before="76" w:beforeAutospacing="0" w:after="76" w:afterAutospacing="0" w:line="450" w:lineRule="atLeast"/>
        <w:ind w:firstLine="420"/>
        <w:rPr>
          <w:rFonts w:hint="eastAsia" w:ascii="微软雅黑" w:hAnsi="微软雅黑" w:eastAsia="微软雅黑" w:cs="微软雅黑"/>
          <w:sz w:val="24"/>
          <w:szCs w:val="24"/>
        </w:rPr>
      </w:pP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rPr>
        <w:t>年部门决算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pPr>
        <w:keepNext w:val="0"/>
        <w:keepLines w:val="0"/>
        <w:pageBreakBefore w:val="0"/>
        <w:widowControl w:val="0"/>
        <w:kinsoku/>
        <w:wordWrap/>
        <w:overflowPunct/>
        <w:topLinePunct w:val="0"/>
        <w:autoSpaceDE/>
        <w:autoSpaceDN/>
        <w:bidi w:val="0"/>
        <w:adjustRightInd/>
        <w:snapToGrid/>
        <w:spacing w:line="575" w:lineRule="exact"/>
        <w:ind w:firstLine="568" w:firstLineChars="200"/>
        <w:textAlignment w:val="auto"/>
        <w:rPr>
          <w:rStyle w:val="10"/>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2"/>
          <w:sz w:val="28"/>
          <w:szCs w:val="28"/>
          <w:lang w:eastAsia="zh-CN"/>
        </w:rPr>
        <w:t>黄石市武汉路小学位于黄石市芜湖路44号。基本职能为：学校是参照公务员法管理全额拨款事业单位，执行事业单位会计制度，上级主管部门为黄石港区教育局，隶属于黄石港区财政局，财务制度执行的是事业单位会计制度。</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eastAsiaTheme="minorEastAsia" w:cstheme="minorEastAsia"/>
          <w:b w:val="0"/>
          <w:bCs w:val="0"/>
          <w:kern w:val="0"/>
          <w:sz w:val="28"/>
          <w:szCs w:val="28"/>
        </w:rPr>
        <w:t>机构情况</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ascii="宋体" w:hAnsi="宋体" w:cs="宋体"/>
          <w:sz w:val="28"/>
          <w:szCs w:val="28"/>
          <w:lang w:eastAsia="zh-CN"/>
        </w:rPr>
      </w:pPr>
      <w:r>
        <w:rPr>
          <w:rFonts w:hint="eastAsia" w:asciiTheme="minorEastAsia" w:hAnsiTheme="minorEastAsia" w:eastAsiaTheme="minorEastAsia" w:cstheme="minorEastAsia"/>
          <w:color w:val="000000"/>
          <w:spacing w:val="2"/>
          <w:sz w:val="28"/>
          <w:szCs w:val="28"/>
          <w:lang w:eastAsia="zh-CN"/>
        </w:rPr>
        <w:t>黄石市武汉路小学单位机构数为1，预算单位数为1。</w:t>
      </w:r>
      <w:r>
        <w:rPr>
          <w:rFonts w:hint="eastAsia" w:asciiTheme="minorEastAsia" w:hAnsiTheme="minorEastAsia" w:cstheme="minorEastAsia"/>
          <w:color w:val="000000"/>
          <w:spacing w:val="2"/>
          <w:sz w:val="28"/>
          <w:szCs w:val="28"/>
          <w:lang w:val="en-US" w:eastAsia="zh-CN"/>
        </w:rPr>
        <w:t>2020年年底有</w:t>
      </w:r>
      <w:r>
        <w:rPr>
          <w:rFonts w:hint="eastAsia" w:ascii="宋体" w:hAnsi="宋体" w:cs="宋体"/>
          <w:sz w:val="28"/>
          <w:szCs w:val="28"/>
        </w:rPr>
        <w:t>在职教师</w:t>
      </w:r>
      <w:r>
        <w:rPr>
          <w:rFonts w:hint="eastAsia" w:ascii="宋体" w:hAnsi="宋体" w:cs="宋体"/>
          <w:sz w:val="28"/>
          <w:szCs w:val="28"/>
          <w:lang w:val="en-US" w:eastAsia="zh-CN"/>
        </w:rPr>
        <w:t>61</w:t>
      </w:r>
      <w:r>
        <w:rPr>
          <w:rFonts w:hint="eastAsia" w:ascii="宋体" w:hAnsi="宋体" w:cs="宋体"/>
          <w:sz w:val="28"/>
          <w:szCs w:val="28"/>
        </w:rPr>
        <w:t>人，</w:t>
      </w:r>
      <w:r>
        <w:rPr>
          <w:rFonts w:hint="eastAsia" w:ascii="宋体" w:hAnsi="宋体" w:cs="宋体"/>
          <w:sz w:val="28"/>
          <w:szCs w:val="28"/>
          <w:lang w:eastAsia="zh-CN"/>
        </w:rPr>
        <w:t>优秀编外教师</w:t>
      </w:r>
      <w:r>
        <w:rPr>
          <w:rFonts w:hint="eastAsia" w:ascii="宋体" w:hAnsi="宋体" w:cs="宋体"/>
          <w:sz w:val="28"/>
          <w:szCs w:val="28"/>
          <w:lang w:val="en-US" w:eastAsia="zh-CN"/>
        </w:rPr>
        <w:t>2人，</w:t>
      </w:r>
      <w:r>
        <w:rPr>
          <w:rFonts w:hint="eastAsia" w:ascii="宋体" w:hAnsi="宋体" w:cs="宋体"/>
          <w:sz w:val="28"/>
          <w:szCs w:val="28"/>
        </w:rPr>
        <w:t>退休教师</w:t>
      </w:r>
      <w:r>
        <w:rPr>
          <w:rFonts w:hint="eastAsia" w:ascii="宋体" w:hAnsi="宋体" w:cs="宋体"/>
          <w:sz w:val="28"/>
          <w:szCs w:val="28"/>
          <w:lang w:val="en-US" w:eastAsia="zh-CN"/>
        </w:rPr>
        <w:t>89</w:t>
      </w:r>
      <w:r>
        <w:rPr>
          <w:rFonts w:hint="eastAsia" w:ascii="宋体" w:hAnsi="宋体" w:cs="宋体"/>
          <w:sz w:val="28"/>
          <w:szCs w:val="28"/>
        </w:rPr>
        <w:t>人</w:t>
      </w:r>
      <w:r>
        <w:rPr>
          <w:rFonts w:hint="eastAsia" w:ascii="宋体" w:hAnsi="宋体" w:cs="宋体"/>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0" w:firstLineChars="200"/>
        <w:jc w:val="left"/>
        <w:textAlignment w:val="auto"/>
        <w:rPr>
          <w:rFonts w:hint="eastAsia" w:ascii="宋体" w:hAnsi="宋体" w:cs="宋体"/>
          <w:sz w:val="28"/>
          <w:szCs w:val="28"/>
          <w:lang w:eastAsia="zh-CN"/>
        </w:rPr>
      </w:pPr>
    </w:p>
    <w:p>
      <w:pPr>
        <w:pStyle w:val="6"/>
        <w:widowControl/>
        <w:numPr>
          <w:ilvl w:val="0"/>
          <w:numId w:val="2"/>
        </w:numPr>
        <w:spacing w:before="76" w:beforeAutospacing="0" w:after="76" w:afterAutospacing="0" w:line="450" w:lineRule="atLeast"/>
        <w:ind w:firstLine="420"/>
        <w:rPr>
          <w:b/>
          <w:bCs w:val="0"/>
        </w:rPr>
      </w:pPr>
      <w:r>
        <w:rPr>
          <w:rStyle w:val="9"/>
          <w:rFonts w:hint="eastAsia" w:ascii="微软雅黑" w:hAnsi="微软雅黑" w:eastAsia="微软雅黑" w:cs="微软雅黑"/>
          <w:b/>
          <w:bCs w:val="0"/>
          <w:color w:val="333333"/>
          <w:shd w:val="clear" w:color="auto" w:fill="FFFFFF"/>
          <w:lang w:eastAsia="zh-CN"/>
        </w:rPr>
        <w:t>部门</w:t>
      </w:r>
      <w:r>
        <w:rPr>
          <w:rStyle w:val="9"/>
          <w:rFonts w:hint="eastAsia" w:ascii="微软雅黑" w:hAnsi="微软雅黑" w:eastAsia="微软雅黑" w:cs="微软雅黑"/>
          <w:b/>
          <w:bCs w:val="0"/>
          <w:color w:val="333333"/>
          <w:shd w:val="clear" w:color="auto" w:fill="FFFFFF"/>
        </w:rPr>
        <w:t>20</w:t>
      </w:r>
      <w:r>
        <w:rPr>
          <w:rStyle w:val="9"/>
          <w:rFonts w:hint="eastAsia" w:ascii="微软雅黑" w:hAnsi="微软雅黑" w:eastAsia="微软雅黑" w:cs="微软雅黑"/>
          <w:b/>
          <w:bCs w:val="0"/>
          <w:color w:val="333333"/>
          <w:shd w:val="clear" w:color="auto" w:fill="FFFFFF"/>
          <w:lang w:val="en-US" w:eastAsia="zh-CN"/>
        </w:rPr>
        <w:t>20</w:t>
      </w:r>
      <w:r>
        <w:rPr>
          <w:rStyle w:val="9"/>
          <w:rFonts w:hint="eastAsia" w:ascii="微软雅黑" w:hAnsi="微软雅黑" w:eastAsia="微软雅黑" w:cs="微软雅黑"/>
          <w:b/>
          <w:bCs w:val="0"/>
          <w:color w:val="333333"/>
          <w:shd w:val="clear" w:color="auto" w:fill="FFFFFF"/>
        </w:rPr>
        <w:t>年部门决算表</w:t>
      </w:r>
    </w:p>
    <w:tbl>
      <w:tblPr>
        <w:tblStyle w:val="7"/>
        <w:tblW w:w="14044" w:type="dxa"/>
        <w:tblInd w:w="0" w:type="dxa"/>
        <w:shd w:val="clear" w:color="auto" w:fill="auto"/>
        <w:tblLayout w:type="fixed"/>
        <w:tblCellMar>
          <w:top w:w="0" w:type="dxa"/>
          <w:left w:w="0" w:type="dxa"/>
          <w:bottom w:w="0" w:type="dxa"/>
          <w:right w:w="0" w:type="dxa"/>
        </w:tblCellMar>
      </w:tblPr>
      <w:tblGrid>
        <w:gridCol w:w="4657"/>
        <w:gridCol w:w="620"/>
        <w:gridCol w:w="1514"/>
        <w:gridCol w:w="4369"/>
        <w:gridCol w:w="620"/>
        <w:gridCol w:w="2264"/>
      </w:tblGrid>
      <w:tr>
        <w:tblPrEx>
          <w:shd w:val="clear" w:color="auto" w:fill="auto"/>
          <w:tblCellMar>
            <w:top w:w="0" w:type="dxa"/>
            <w:left w:w="0" w:type="dxa"/>
            <w:bottom w:w="0" w:type="dxa"/>
            <w:right w:w="0" w:type="dxa"/>
          </w:tblCellMar>
        </w:tblPrEx>
        <w:trPr>
          <w:trHeight w:val="375"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300" w:hRule="atLeast"/>
        </w:trPr>
        <w:tc>
          <w:tcPr>
            <w:tcW w:w="465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1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36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CellMar>
            <w:top w:w="0" w:type="dxa"/>
            <w:left w:w="0" w:type="dxa"/>
            <w:bottom w:w="0" w:type="dxa"/>
            <w:right w:w="0" w:type="dxa"/>
          </w:tblCellMar>
        </w:tblPrEx>
        <w:trPr>
          <w:trHeight w:val="300" w:hRule="atLeast"/>
        </w:trPr>
        <w:tc>
          <w:tcPr>
            <w:tcW w:w="4657"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62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436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67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7253"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1,315.18</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113.27</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1,315.18</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1,315.18</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20"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1,315.18</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1,315.18</w:t>
            </w:r>
          </w:p>
        </w:tc>
      </w:tr>
      <w:tr>
        <w:tblPrEx>
          <w:tblCellMar>
            <w:top w:w="0" w:type="dxa"/>
            <w:left w:w="0" w:type="dxa"/>
            <w:bottom w:w="0" w:type="dxa"/>
            <w:right w:w="0" w:type="dxa"/>
          </w:tblCellMar>
        </w:tblPrEx>
        <w:trPr>
          <w:trHeight w:val="300"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注：本表反映部门本年度的总收支和年末结转结余情况。本套报表金额单位转换时可能存在尾数误差。</w:t>
            </w:r>
          </w:p>
        </w:tc>
      </w:tr>
      <w:tr>
        <w:tblPrEx>
          <w:tblCellMar>
            <w:top w:w="0" w:type="dxa"/>
            <w:left w:w="0" w:type="dxa"/>
            <w:bottom w:w="0" w:type="dxa"/>
            <w:right w:w="0" w:type="dxa"/>
          </w:tblCellMar>
        </w:tblPrEx>
        <w:trPr>
          <w:trHeight w:val="300"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tbl>
      <w:tblPr>
        <w:tblStyle w:val="7"/>
        <w:tblW w:w="14026" w:type="dxa"/>
        <w:tblInd w:w="0" w:type="dxa"/>
        <w:shd w:val="clear" w:color="auto" w:fill="auto"/>
        <w:tblLayout w:type="fixed"/>
        <w:tblCellMar>
          <w:top w:w="0" w:type="dxa"/>
          <w:left w:w="0" w:type="dxa"/>
          <w:bottom w:w="0" w:type="dxa"/>
          <w:right w:w="0" w:type="dxa"/>
        </w:tblCellMar>
      </w:tblPr>
      <w:tblGrid>
        <w:gridCol w:w="3049"/>
        <w:gridCol w:w="45"/>
        <w:gridCol w:w="45"/>
        <w:gridCol w:w="1282"/>
        <w:gridCol w:w="1296"/>
        <w:gridCol w:w="1703"/>
        <w:gridCol w:w="1046"/>
        <w:gridCol w:w="803"/>
        <w:gridCol w:w="803"/>
        <w:gridCol w:w="1288"/>
        <w:gridCol w:w="2666"/>
      </w:tblGrid>
      <w:tr>
        <w:tblPrEx>
          <w:shd w:val="clear" w:color="auto" w:fill="auto"/>
          <w:tblCellMar>
            <w:top w:w="0" w:type="dxa"/>
            <w:left w:w="0" w:type="dxa"/>
            <w:bottom w:w="0" w:type="dxa"/>
            <w:right w:w="0" w:type="dxa"/>
          </w:tblCellMar>
        </w:tblPrEx>
        <w:trPr>
          <w:trHeight w:val="375" w:hRule="atLeast"/>
        </w:trPr>
        <w:tc>
          <w:tcPr>
            <w:tcW w:w="14026" w:type="dxa"/>
            <w:gridSpan w:val="11"/>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300" w:hRule="atLeast"/>
        </w:trPr>
        <w:tc>
          <w:tcPr>
            <w:tcW w:w="304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9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0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4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0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66"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CellMar>
            <w:top w:w="0" w:type="dxa"/>
            <w:left w:w="0" w:type="dxa"/>
            <w:bottom w:w="0" w:type="dxa"/>
            <w:right w:w="0" w:type="dxa"/>
          </w:tblCellMar>
        </w:tblPrEx>
        <w:trPr>
          <w:trHeight w:val="300" w:hRule="atLeast"/>
        </w:trPr>
        <w:tc>
          <w:tcPr>
            <w:tcW w:w="3049"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4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8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3"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04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0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8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6"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42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9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70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0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80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80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2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266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3139"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282"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9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39"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39"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6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42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9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0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0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0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6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442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9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1,315.18</w:t>
            </w:r>
          </w:p>
        </w:tc>
        <w:tc>
          <w:tcPr>
            <w:tcW w:w="17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1,201.91</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113.27</w:t>
            </w:r>
          </w:p>
        </w:tc>
      </w:tr>
      <w:tr>
        <w:tblPrEx>
          <w:tblCellMar>
            <w:top w:w="0" w:type="dxa"/>
            <w:left w:w="0" w:type="dxa"/>
            <w:bottom w:w="0" w:type="dxa"/>
            <w:right w:w="0" w:type="dxa"/>
          </w:tblCellMar>
        </w:tblPrEx>
        <w:trPr>
          <w:trHeight w:val="300" w:hRule="atLeast"/>
        </w:trPr>
        <w:tc>
          <w:tcPr>
            <w:tcW w:w="313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1,315.18</w:t>
            </w:r>
          </w:p>
        </w:tc>
        <w:tc>
          <w:tcPr>
            <w:tcW w:w="17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1,201.91</w:t>
            </w:r>
          </w:p>
        </w:tc>
        <w:tc>
          <w:tcPr>
            <w:tcW w:w="10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113.27</w:t>
            </w:r>
          </w:p>
        </w:tc>
      </w:tr>
      <w:tr>
        <w:tblPrEx>
          <w:tblCellMar>
            <w:top w:w="0" w:type="dxa"/>
            <w:left w:w="0" w:type="dxa"/>
            <w:bottom w:w="0" w:type="dxa"/>
            <w:right w:w="0" w:type="dxa"/>
          </w:tblCellMar>
        </w:tblPrEx>
        <w:trPr>
          <w:trHeight w:val="300" w:hRule="atLeast"/>
        </w:trPr>
        <w:tc>
          <w:tcPr>
            <w:tcW w:w="313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1,315.18</w:t>
            </w:r>
          </w:p>
        </w:tc>
        <w:tc>
          <w:tcPr>
            <w:tcW w:w="17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1,201.91</w:t>
            </w:r>
          </w:p>
        </w:tc>
        <w:tc>
          <w:tcPr>
            <w:tcW w:w="10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113.27</w:t>
            </w:r>
          </w:p>
        </w:tc>
      </w:tr>
      <w:tr>
        <w:tblPrEx>
          <w:tblCellMar>
            <w:top w:w="0" w:type="dxa"/>
            <w:left w:w="0" w:type="dxa"/>
            <w:bottom w:w="0" w:type="dxa"/>
            <w:right w:w="0" w:type="dxa"/>
          </w:tblCellMar>
        </w:tblPrEx>
        <w:trPr>
          <w:trHeight w:val="300" w:hRule="atLeast"/>
        </w:trPr>
        <w:tc>
          <w:tcPr>
            <w:tcW w:w="3139"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28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129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1,315.18</w:t>
            </w:r>
          </w:p>
        </w:tc>
        <w:tc>
          <w:tcPr>
            <w:tcW w:w="17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113.27</w:t>
            </w:r>
          </w:p>
        </w:tc>
      </w:tr>
      <w:tr>
        <w:tblPrEx>
          <w:tblCellMar>
            <w:top w:w="0" w:type="dxa"/>
            <w:left w:w="0" w:type="dxa"/>
            <w:bottom w:w="0" w:type="dxa"/>
            <w:right w:w="0" w:type="dxa"/>
          </w:tblCellMar>
        </w:tblPrEx>
        <w:trPr>
          <w:trHeight w:val="300" w:hRule="atLeast"/>
        </w:trPr>
        <w:tc>
          <w:tcPr>
            <w:tcW w:w="14026"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
    <w:p/>
    <w:tbl>
      <w:tblPr>
        <w:tblStyle w:val="7"/>
        <w:tblW w:w="13988" w:type="dxa"/>
        <w:tblInd w:w="0" w:type="dxa"/>
        <w:shd w:val="clear" w:color="auto" w:fill="auto"/>
        <w:tblLayout w:type="fixed"/>
        <w:tblCellMar>
          <w:top w:w="0" w:type="dxa"/>
          <w:left w:w="0" w:type="dxa"/>
          <w:bottom w:w="0" w:type="dxa"/>
          <w:right w:w="0" w:type="dxa"/>
        </w:tblCellMar>
      </w:tblPr>
      <w:tblGrid>
        <w:gridCol w:w="3145"/>
        <w:gridCol w:w="46"/>
        <w:gridCol w:w="46"/>
        <w:gridCol w:w="1322"/>
        <w:gridCol w:w="1691"/>
        <w:gridCol w:w="1608"/>
        <w:gridCol w:w="1349"/>
        <w:gridCol w:w="1350"/>
        <w:gridCol w:w="1350"/>
        <w:gridCol w:w="2081"/>
      </w:tblGrid>
      <w:tr>
        <w:tblPrEx>
          <w:shd w:val="clear" w:color="auto" w:fill="auto"/>
          <w:tblCellMar>
            <w:top w:w="0" w:type="dxa"/>
            <w:left w:w="0" w:type="dxa"/>
            <w:bottom w:w="0" w:type="dxa"/>
            <w:right w:w="0" w:type="dxa"/>
          </w:tblCellMar>
        </w:tblPrEx>
        <w:trPr>
          <w:trHeight w:val="375"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300" w:hRule="atLeast"/>
        </w:trPr>
        <w:tc>
          <w:tcPr>
            <w:tcW w:w="31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2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9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0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8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CellMar>
            <w:top w:w="0" w:type="dxa"/>
            <w:left w:w="0" w:type="dxa"/>
            <w:bottom w:w="0" w:type="dxa"/>
            <w:right w:w="0" w:type="dxa"/>
          </w:tblCellMar>
        </w:tblPrEx>
        <w:trPr>
          <w:trHeight w:val="300" w:hRule="atLeast"/>
        </w:trPr>
        <w:tc>
          <w:tcPr>
            <w:tcW w:w="314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4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9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60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8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559"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69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6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34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3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3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208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3237"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322"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9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8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237"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8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237"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8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559"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69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4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8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4559"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1,315.18</w:t>
            </w: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1,315.18</w:t>
            </w:r>
          </w:p>
        </w:tc>
        <w:tc>
          <w:tcPr>
            <w:tcW w:w="13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23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3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69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1,315.18</w:t>
            </w:r>
          </w:p>
        </w:tc>
        <w:tc>
          <w:tcPr>
            <w:tcW w:w="16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1,315.18</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23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3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69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1,315.18</w:t>
            </w:r>
          </w:p>
        </w:tc>
        <w:tc>
          <w:tcPr>
            <w:tcW w:w="16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1,315.18</w:t>
            </w:r>
          </w:p>
        </w:tc>
        <w:tc>
          <w:tcPr>
            <w:tcW w:w="13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237"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32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16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1,315.18</w:t>
            </w: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1,315.18</w:t>
            </w:r>
          </w:p>
        </w:tc>
        <w:tc>
          <w:tcPr>
            <w:tcW w:w="13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tbl>
      <w:tblPr>
        <w:tblStyle w:val="7"/>
        <w:tblW w:w="13988" w:type="dxa"/>
        <w:tblInd w:w="0" w:type="dxa"/>
        <w:shd w:val="clear" w:color="auto" w:fill="auto"/>
        <w:tblLayout w:type="fixed"/>
        <w:tblCellMar>
          <w:top w:w="0" w:type="dxa"/>
          <w:left w:w="0" w:type="dxa"/>
          <w:bottom w:w="0" w:type="dxa"/>
          <w:right w:w="0" w:type="dxa"/>
        </w:tblCellMar>
      </w:tblPr>
      <w:tblGrid>
        <w:gridCol w:w="3190"/>
        <w:gridCol w:w="431"/>
        <w:gridCol w:w="1010"/>
        <w:gridCol w:w="3619"/>
        <w:gridCol w:w="1071"/>
        <w:gridCol w:w="921"/>
        <w:gridCol w:w="1074"/>
        <w:gridCol w:w="931"/>
        <w:gridCol w:w="1741"/>
      </w:tblGrid>
      <w:tr>
        <w:tblPrEx>
          <w:shd w:val="clear" w:color="auto" w:fill="auto"/>
          <w:tblCellMar>
            <w:top w:w="0" w:type="dxa"/>
            <w:left w:w="0" w:type="dxa"/>
            <w:bottom w:w="0" w:type="dxa"/>
            <w:right w:w="0" w:type="dxa"/>
          </w:tblCellMar>
        </w:tblPrEx>
        <w:trPr>
          <w:trHeight w:val="375"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300" w:hRule="atLeast"/>
        </w:trPr>
        <w:tc>
          <w:tcPr>
            <w:tcW w:w="319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3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1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7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2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7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4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CellMar>
            <w:top w:w="0" w:type="dxa"/>
            <w:left w:w="0" w:type="dxa"/>
            <w:bottom w:w="0" w:type="dxa"/>
            <w:right w:w="0" w:type="dxa"/>
          </w:tblCellMar>
        </w:tblPrEx>
        <w:trPr>
          <w:trHeight w:val="300" w:hRule="atLeast"/>
        </w:trPr>
        <w:tc>
          <w:tcPr>
            <w:tcW w:w="319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43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1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92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4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463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9357"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31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3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6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07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21"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7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3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174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tblPrEx>
          <w:tblCellMar>
            <w:top w:w="0" w:type="dxa"/>
            <w:left w:w="0" w:type="dxa"/>
            <w:bottom w:w="0" w:type="dxa"/>
            <w:right w:w="0" w:type="dxa"/>
          </w:tblCellMar>
        </w:tblPrEx>
        <w:trPr>
          <w:trHeight w:val="600" w:hRule="atLeast"/>
        </w:trPr>
        <w:tc>
          <w:tcPr>
            <w:tcW w:w="31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4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4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31"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36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1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9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4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2247"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74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
    <w:p/>
    <w:tbl>
      <w:tblPr>
        <w:tblStyle w:val="7"/>
        <w:tblW w:w="13768" w:type="dxa"/>
        <w:tblInd w:w="0" w:type="dxa"/>
        <w:shd w:val="clear" w:color="auto" w:fill="auto"/>
        <w:tblLayout w:type="fixed"/>
        <w:tblCellMar>
          <w:top w:w="0" w:type="dxa"/>
          <w:left w:w="0" w:type="dxa"/>
          <w:bottom w:w="0" w:type="dxa"/>
          <w:right w:w="0" w:type="dxa"/>
        </w:tblCellMar>
      </w:tblPr>
      <w:tblGrid>
        <w:gridCol w:w="3948"/>
        <w:gridCol w:w="58"/>
        <w:gridCol w:w="58"/>
        <w:gridCol w:w="1660"/>
        <w:gridCol w:w="2485"/>
        <w:gridCol w:w="2485"/>
        <w:gridCol w:w="3074"/>
      </w:tblGrid>
      <w:tr>
        <w:tblPrEx>
          <w:shd w:val="clear" w:color="auto" w:fill="auto"/>
          <w:tblCellMar>
            <w:top w:w="0" w:type="dxa"/>
            <w:left w:w="0" w:type="dxa"/>
            <w:bottom w:w="0" w:type="dxa"/>
            <w:right w:w="0" w:type="dxa"/>
          </w:tblCellMar>
        </w:tblPrEx>
        <w:trPr>
          <w:trHeight w:val="375" w:hRule="atLeast"/>
        </w:trPr>
        <w:tc>
          <w:tcPr>
            <w:tcW w:w="13768" w:type="dxa"/>
            <w:gridSpan w:val="7"/>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300" w:hRule="atLeast"/>
        </w:trPr>
        <w:tc>
          <w:tcPr>
            <w:tcW w:w="394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6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8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8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07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CellMar>
            <w:top w:w="0" w:type="dxa"/>
            <w:left w:w="0" w:type="dxa"/>
            <w:bottom w:w="0" w:type="dxa"/>
            <w:right w:w="0" w:type="dxa"/>
          </w:tblCellMar>
        </w:tblPrEx>
        <w:trPr>
          <w:trHeight w:val="300" w:hRule="atLeast"/>
        </w:trPr>
        <w:tc>
          <w:tcPr>
            <w:tcW w:w="3948"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5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6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248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8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7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572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044"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4064"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66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4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4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07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4064"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064"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72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572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1,201.91</w:t>
            </w:r>
          </w:p>
        </w:tc>
        <w:tc>
          <w:tcPr>
            <w:tcW w:w="2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1,201.91</w:t>
            </w:r>
          </w:p>
        </w:tc>
        <w:tc>
          <w:tcPr>
            <w:tcW w:w="3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06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6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1,201.91</w:t>
            </w:r>
          </w:p>
        </w:tc>
        <w:tc>
          <w:tcPr>
            <w:tcW w:w="2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1,201.91</w:t>
            </w:r>
          </w:p>
        </w:tc>
        <w:tc>
          <w:tcPr>
            <w:tcW w:w="30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06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6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2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1,201.91</w:t>
            </w:r>
          </w:p>
        </w:tc>
        <w:tc>
          <w:tcPr>
            <w:tcW w:w="2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1,201.91</w:t>
            </w:r>
          </w:p>
        </w:tc>
        <w:tc>
          <w:tcPr>
            <w:tcW w:w="30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064"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66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2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2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1,201.91</w:t>
            </w:r>
          </w:p>
        </w:tc>
        <w:tc>
          <w:tcPr>
            <w:tcW w:w="30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768"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tbl>
      <w:tblPr>
        <w:tblStyle w:val="7"/>
        <w:tblW w:w="13753" w:type="dxa"/>
        <w:tblInd w:w="0" w:type="dxa"/>
        <w:shd w:val="clear" w:color="auto" w:fill="auto"/>
        <w:tblLayout w:type="fixed"/>
        <w:tblCellMar>
          <w:top w:w="0" w:type="dxa"/>
          <w:left w:w="0" w:type="dxa"/>
          <w:bottom w:w="0" w:type="dxa"/>
          <w:right w:w="0" w:type="dxa"/>
        </w:tblCellMar>
      </w:tblPr>
      <w:tblGrid>
        <w:gridCol w:w="1123"/>
        <w:gridCol w:w="3068"/>
        <w:gridCol w:w="937"/>
        <w:gridCol w:w="892"/>
        <w:gridCol w:w="2057"/>
        <w:gridCol w:w="733"/>
        <w:gridCol w:w="733"/>
        <w:gridCol w:w="2830"/>
        <w:gridCol w:w="1380"/>
      </w:tblGrid>
      <w:tr>
        <w:tblPrEx>
          <w:shd w:val="clear" w:color="auto" w:fill="auto"/>
          <w:tblCellMar>
            <w:top w:w="0" w:type="dxa"/>
            <w:left w:w="0" w:type="dxa"/>
            <w:bottom w:w="0" w:type="dxa"/>
            <w:right w:w="0" w:type="dxa"/>
          </w:tblCellMar>
        </w:tblPrEx>
        <w:trPr>
          <w:trHeight w:val="375" w:hRule="atLeast"/>
        </w:trPr>
        <w:tc>
          <w:tcPr>
            <w:tcW w:w="13753" w:type="dxa"/>
            <w:gridSpan w:val="9"/>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300" w:hRule="atLeast"/>
        </w:trPr>
        <w:tc>
          <w:tcPr>
            <w:tcW w:w="112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6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5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12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06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5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12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06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5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8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300" w:hRule="atLeast"/>
        </w:trPr>
        <w:tc>
          <w:tcPr>
            <w:tcW w:w="4191"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部门：黄石市武汉路小学</w:t>
            </w:r>
          </w:p>
        </w:tc>
        <w:tc>
          <w:tcPr>
            <w:tcW w:w="9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9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3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00" w:hRule="atLeast"/>
        </w:trPr>
        <w:tc>
          <w:tcPr>
            <w:tcW w:w="512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8625"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112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0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9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8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112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1,033.33</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160.63</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290.60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24.22</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48.95</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451.36</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6.33</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87.92</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7.65</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4.34</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89.15</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57.48</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17.37</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0.69</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0.36</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57.94</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13.36</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6.58</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0.34</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2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6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191"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9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1,036.94</w:t>
            </w:r>
          </w:p>
        </w:tc>
        <w:tc>
          <w:tcPr>
            <w:tcW w:w="7245"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164.97</w:t>
            </w:r>
          </w:p>
        </w:tc>
      </w:tr>
      <w:tr>
        <w:tblPrEx>
          <w:tblCellMar>
            <w:top w:w="0" w:type="dxa"/>
            <w:left w:w="0" w:type="dxa"/>
            <w:bottom w:w="0" w:type="dxa"/>
            <w:right w:w="0" w:type="dxa"/>
          </w:tblCellMar>
        </w:tblPrEx>
        <w:trPr>
          <w:trHeight w:val="300" w:hRule="atLeast"/>
        </w:trPr>
        <w:tc>
          <w:tcPr>
            <w:tcW w:w="13753"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
    <w:p/>
    <w:p/>
    <w:tbl>
      <w:tblPr>
        <w:tblStyle w:val="7"/>
        <w:tblW w:w="13988" w:type="dxa"/>
        <w:tblInd w:w="0" w:type="dxa"/>
        <w:shd w:val="clear" w:color="auto" w:fill="auto"/>
        <w:tblLayout w:type="fixed"/>
        <w:tblCellMar>
          <w:top w:w="0" w:type="dxa"/>
          <w:left w:w="0" w:type="dxa"/>
          <w:bottom w:w="0" w:type="dxa"/>
          <w:right w:w="0" w:type="dxa"/>
        </w:tblCellMar>
      </w:tblPr>
      <w:tblGrid>
        <w:gridCol w:w="2450"/>
        <w:gridCol w:w="1271"/>
        <w:gridCol w:w="422"/>
        <w:gridCol w:w="999"/>
        <w:gridCol w:w="978"/>
        <w:gridCol w:w="1845"/>
        <w:gridCol w:w="531"/>
        <w:gridCol w:w="1126"/>
        <w:gridCol w:w="531"/>
        <w:gridCol w:w="1139"/>
        <w:gridCol w:w="1126"/>
        <w:gridCol w:w="1570"/>
      </w:tblGrid>
      <w:tr>
        <w:tblPrEx>
          <w:shd w:val="clear" w:color="auto" w:fill="auto"/>
          <w:tblCellMar>
            <w:top w:w="0" w:type="dxa"/>
            <w:left w:w="0" w:type="dxa"/>
            <w:bottom w:w="0" w:type="dxa"/>
            <w:right w:w="0" w:type="dxa"/>
          </w:tblCellMar>
        </w:tblPrEx>
        <w:trPr>
          <w:trHeight w:val="555" w:hRule="atLeast"/>
        </w:trPr>
        <w:tc>
          <w:tcPr>
            <w:tcW w:w="13988" w:type="dxa"/>
            <w:gridSpan w:val="1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Arial" w:eastAsia="黑体" w:cs="黑体"/>
                <w:i w:val="0"/>
                <w:color w:val="000000"/>
                <w:kern w:val="0"/>
                <w:sz w:val="44"/>
                <w:szCs w:val="44"/>
                <w:u w:val="none"/>
                <w:lang w:val="en-US" w:eastAsia="zh-CN" w:bidi="ar"/>
              </w:rPr>
              <w:t>一般公共预算财政拨款“三公”经费支出决算表</w:t>
            </w:r>
          </w:p>
        </w:tc>
      </w:tr>
      <w:tr>
        <w:tblPrEx>
          <w:tblCellMar>
            <w:top w:w="0" w:type="dxa"/>
            <w:left w:w="0" w:type="dxa"/>
            <w:bottom w:w="0" w:type="dxa"/>
            <w:right w:w="0" w:type="dxa"/>
          </w:tblCellMar>
        </w:tblPrEx>
        <w:trPr>
          <w:trHeight w:val="300" w:hRule="atLeast"/>
        </w:trPr>
        <w:tc>
          <w:tcPr>
            <w:tcW w:w="24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7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2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9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3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7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300" w:hRule="atLeast"/>
        </w:trPr>
        <w:tc>
          <w:tcPr>
            <w:tcW w:w="245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部门：黄石市武汉路小学</w:t>
            </w:r>
          </w:p>
        </w:tc>
        <w:tc>
          <w:tcPr>
            <w:tcW w:w="127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4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制表日期：2020年</w:t>
            </w:r>
          </w:p>
        </w:tc>
        <w:tc>
          <w:tcPr>
            <w:tcW w:w="53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3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3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300" w:hRule="atLeast"/>
        </w:trPr>
        <w:tc>
          <w:tcPr>
            <w:tcW w:w="796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023"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245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7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9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8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53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2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96"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245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9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7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8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3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45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7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3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00" w:hRule="atLeast"/>
        </w:trPr>
        <w:tc>
          <w:tcPr>
            <w:tcW w:w="245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930" w:hRule="atLeast"/>
        </w:trPr>
        <w:tc>
          <w:tcPr>
            <w:tcW w:w="13988"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
    <w:p/>
    <w:tbl>
      <w:tblPr>
        <w:tblStyle w:val="7"/>
        <w:tblpPr w:leftFromText="180" w:rightFromText="180" w:vertAnchor="text" w:horzAnchor="page" w:tblpX="1528" w:tblpY="277"/>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shd w:val="clear" w:color="auto" w:fill="auto"/>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tblPrEx>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黄石市武汉路小学</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rPr>
        <w:t>年部门决算情况说明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pStyle w:val="6"/>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20</w:t>
      </w:r>
      <w:r>
        <w:rPr>
          <w:rFonts w:hint="default" w:asciiTheme="minorEastAsia" w:hAnsiTheme="minorEastAsia" w:cstheme="minorEastAsia"/>
          <w:color w:val="auto"/>
          <w:sz w:val="28"/>
          <w:szCs w:val="28"/>
          <w:shd w:val="clear" w:color="auto" w:fill="FFFFFF"/>
          <w:lang w:val="en-US"/>
        </w:rPr>
        <w:t>20</w:t>
      </w:r>
      <w:r>
        <w:rPr>
          <w:rFonts w:hint="eastAsia" w:asciiTheme="minorEastAsia" w:hAnsiTheme="minorEastAsia" w:eastAsiaTheme="minorEastAsia" w:cstheme="minorEastAsia"/>
          <w:color w:val="auto"/>
          <w:sz w:val="28"/>
          <w:szCs w:val="28"/>
          <w:shd w:val="clear" w:color="auto" w:fill="FFFFFF"/>
        </w:rPr>
        <w:t>年度财政收入预算数</w:t>
      </w:r>
      <w:r>
        <w:rPr>
          <w:rFonts w:hint="default" w:asciiTheme="minorEastAsia" w:hAnsiTheme="minorEastAsia" w:cstheme="minorEastAsia"/>
          <w:color w:val="auto"/>
          <w:sz w:val="28"/>
          <w:szCs w:val="28"/>
          <w:shd w:val="clear" w:color="auto" w:fill="FFFFFF"/>
          <w:lang w:val="en-US"/>
        </w:rPr>
        <w:t>769.46</w:t>
      </w:r>
      <w:r>
        <w:rPr>
          <w:rFonts w:hint="eastAsia" w:asciiTheme="minorEastAsia" w:hAnsiTheme="minorEastAsia" w:eastAsiaTheme="minorEastAsia" w:cstheme="minorEastAsia"/>
          <w:color w:val="auto"/>
          <w:sz w:val="28"/>
          <w:szCs w:val="28"/>
          <w:shd w:val="clear" w:color="auto" w:fill="FFFFFF"/>
        </w:rPr>
        <w:t>万元，其中人员经费</w:t>
      </w:r>
      <w:r>
        <w:rPr>
          <w:rFonts w:hint="eastAsia" w:asciiTheme="minorEastAsia" w:hAnsiTheme="minorEastAsia" w:eastAsiaTheme="minorEastAsia" w:cstheme="minorEastAsia"/>
          <w:color w:val="auto"/>
          <w:sz w:val="28"/>
          <w:szCs w:val="28"/>
        </w:rPr>
        <w:t>7</w:t>
      </w:r>
      <w:r>
        <w:rPr>
          <w:rFonts w:hint="default" w:asciiTheme="minorEastAsia" w:hAnsiTheme="minorEastAsia" w:cstheme="minorEastAsia"/>
          <w:color w:val="auto"/>
          <w:sz w:val="28"/>
          <w:szCs w:val="28"/>
          <w:lang w:val="en-US"/>
        </w:rPr>
        <w:t>20.34</w:t>
      </w:r>
      <w:r>
        <w:rPr>
          <w:rFonts w:hint="eastAsia" w:asciiTheme="minorEastAsia" w:hAnsiTheme="minorEastAsia" w:eastAsiaTheme="minorEastAsia" w:cstheme="minorEastAsia"/>
          <w:color w:val="auto"/>
          <w:sz w:val="28"/>
          <w:szCs w:val="28"/>
        </w:rPr>
        <w:t>万</w:t>
      </w:r>
      <w:r>
        <w:rPr>
          <w:rFonts w:hint="eastAsia" w:asciiTheme="minorEastAsia" w:hAnsiTheme="minorEastAsia" w:eastAsiaTheme="minorEastAsia" w:cstheme="minorEastAsia"/>
          <w:color w:val="auto"/>
          <w:sz w:val="28"/>
          <w:szCs w:val="28"/>
          <w:shd w:val="clear" w:color="auto" w:fill="FFFFFF"/>
        </w:rPr>
        <w:t>元，公用经费</w:t>
      </w:r>
      <w:r>
        <w:rPr>
          <w:rFonts w:hint="default" w:asciiTheme="minorEastAsia" w:hAnsiTheme="minorEastAsia" w:cstheme="minorEastAsia"/>
          <w:color w:val="auto"/>
          <w:sz w:val="28"/>
          <w:szCs w:val="28"/>
          <w:shd w:val="clear" w:color="auto" w:fill="FFFFFF"/>
          <w:lang w:val="en-US"/>
        </w:rPr>
        <w:t>49.12</w:t>
      </w:r>
      <w:r>
        <w:rPr>
          <w:rFonts w:hint="eastAsia" w:asciiTheme="minorEastAsia" w:hAnsiTheme="minorEastAsia" w:eastAsiaTheme="minorEastAsia" w:cstheme="minorEastAsia"/>
          <w:color w:val="auto"/>
          <w:sz w:val="28"/>
          <w:szCs w:val="28"/>
          <w:shd w:val="clear" w:color="auto" w:fill="FFFFFF"/>
        </w:rPr>
        <w:t>元；20</w:t>
      </w:r>
      <w:r>
        <w:rPr>
          <w:rFonts w:hint="default" w:asciiTheme="minorEastAsia" w:hAnsiTheme="minorEastAsia" w:cstheme="minorEastAsia"/>
          <w:color w:val="auto"/>
          <w:sz w:val="28"/>
          <w:szCs w:val="28"/>
          <w:shd w:val="clear" w:color="auto" w:fill="FFFFFF"/>
          <w:lang w:val="en-US"/>
        </w:rPr>
        <w:t>20</w:t>
      </w:r>
      <w:r>
        <w:rPr>
          <w:rFonts w:hint="eastAsia" w:asciiTheme="minorEastAsia" w:hAnsiTheme="minorEastAsia" w:eastAsiaTheme="minorEastAsia" w:cstheme="minorEastAsia"/>
          <w:color w:val="auto"/>
          <w:sz w:val="28"/>
          <w:szCs w:val="28"/>
          <w:shd w:val="clear" w:color="auto" w:fill="FFFFFF"/>
        </w:rPr>
        <w:t>年度财政支出预算数</w:t>
      </w:r>
      <w:r>
        <w:rPr>
          <w:rFonts w:hint="default" w:asciiTheme="minorEastAsia" w:hAnsiTheme="minorEastAsia" w:cstheme="minorEastAsia"/>
          <w:color w:val="auto"/>
          <w:sz w:val="28"/>
          <w:szCs w:val="28"/>
          <w:shd w:val="clear" w:color="auto" w:fill="FFFFFF"/>
          <w:lang w:val="en-US"/>
        </w:rPr>
        <w:t>769.46</w:t>
      </w:r>
      <w:r>
        <w:rPr>
          <w:rFonts w:hint="eastAsia" w:asciiTheme="minorEastAsia" w:hAnsiTheme="minorEastAsia" w:eastAsiaTheme="minorEastAsia" w:cstheme="minorEastAsia"/>
          <w:color w:val="auto"/>
          <w:sz w:val="28"/>
          <w:szCs w:val="28"/>
          <w:shd w:val="clear" w:color="auto" w:fill="FFFFFF"/>
        </w:rPr>
        <w:t>万元，其中人员经费</w:t>
      </w:r>
      <w:r>
        <w:rPr>
          <w:rFonts w:hint="default" w:asciiTheme="minorEastAsia" w:hAnsiTheme="minorEastAsia" w:cstheme="minorEastAsia"/>
          <w:color w:val="auto"/>
          <w:sz w:val="28"/>
          <w:szCs w:val="28"/>
          <w:lang w:val="en-US"/>
        </w:rPr>
        <w:t>720.34</w:t>
      </w:r>
      <w:r>
        <w:rPr>
          <w:rFonts w:hint="eastAsia" w:asciiTheme="minorEastAsia" w:hAnsiTheme="minorEastAsia" w:eastAsiaTheme="minorEastAsia" w:cstheme="minorEastAsia"/>
          <w:color w:val="auto"/>
          <w:sz w:val="28"/>
          <w:szCs w:val="28"/>
        </w:rPr>
        <w:t>万</w:t>
      </w:r>
      <w:r>
        <w:rPr>
          <w:rFonts w:hint="eastAsia" w:asciiTheme="minorEastAsia" w:hAnsiTheme="minorEastAsia" w:eastAsiaTheme="minorEastAsia" w:cstheme="minorEastAsia"/>
          <w:color w:val="auto"/>
          <w:sz w:val="28"/>
          <w:szCs w:val="28"/>
          <w:shd w:val="clear" w:color="auto" w:fill="FFFFFF"/>
        </w:rPr>
        <w:t>元，公用经费</w:t>
      </w:r>
      <w:r>
        <w:rPr>
          <w:rFonts w:hint="default" w:asciiTheme="minorEastAsia" w:hAnsiTheme="minorEastAsia" w:cstheme="minorEastAsia"/>
          <w:color w:val="auto"/>
          <w:sz w:val="28"/>
          <w:szCs w:val="28"/>
          <w:shd w:val="clear" w:color="auto" w:fill="FFFFFF"/>
          <w:lang w:val="en-US"/>
        </w:rPr>
        <w:t>49.12</w:t>
      </w:r>
      <w:r>
        <w:rPr>
          <w:rFonts w:hint="eastAsia" w:asciiTheme="minorEastAsia" w:hAnsiTheme="minorEastAsia" w:eastAsiaTheme="minorEastAsia" w:cstheme="minorEastAsia"/>
          <w:color w:val="auto"/>
          <w:sz w:val="28"/>
          <w:szCs w:val="28"/>
          <w:shd w:val="clear" w:color="auto" w:fill="FFFFFF"/>
        </w:rPr>
        <w:t>万元。201</w:t>
      </w:r>
      <w:r>
        <w:rPr>
          <w:rFonts w:hint="default" w:asciiTheme="minorEastAsia" w:hAnsiTheme="minorEastAsia" w:cstheme="minorEastAsia"/>
          <w:color w:val="auto"/>
          <w:sz w:val="28"/>
          <w:szCs w:val="28"/>
          <w:shd w:val="clear" w:color="auto" w:fill="FFFFFF"/>
          <w:lang w:val="en-US"/>
        </w:rPr>
        <w:t>9</w:t>
      </w:r>
      <w:r>
        <w:rPr>
          <w:rFonts w:hint="eastAsia" w:asciiTheme="minorEastAsia" w:hAnsiTheme="minorEastAsia" w:eastAsiaTheme="minorEastAsia" w:cstheme="minorEastAsia"/>
          <w:color w:val="auto"/>
          <w:sz w:val="28"/>
          <w:szCs w:val="28"/>
          <w:shd w:val="clear" w:color="auto" w:fill="FFFFFF"/>
        </w:rPr>
        <w:t>年度财政收入预算数</w:t>
      </w:r>
      <w:r>
        <w:rPr>
          <w:rFonts w:hint="default" w:asciiTheme="minorEastAsia" w:hAnsiTheme="minorEastAsia" w:cstheme="minorEastAsia"/>
          <w:color w:val="auto"/>
          <w:sz w:val="28"/>
          <w:szCs w:val="28"/>
          <w:shd w:val="clear" w:color="auto" w:fill="FFFFFF"/>
          <w:lang w:val="en-US"/>
        </w:rPr>
        <w:t>865.23</w:t>
      </w:r>
      <w:r>
        <w:rPr>
          <w:rFonts w:hint="eastAsia" w:asciiTheme="minorEastAsia" w:hAnsiTheme="minorEastAsia" w:eastAsiaTheme="minorEastAsia" w:cstheme="minorEastAsia"/>
          <w:color w:val="auto"/>
          <w:sz w:val="28"/>
          <w:szCs w:val="28"/>
          <w:shd w:val="clear" w:color="auto" w:fill="FFFFFF"/>
        </w:rPr>
        <w:t>万元，其中人员经费</w:t>
      </w:r>
      <w:r>
        <w:rPr>
          <w:rFonts w:hint="default" w:asciiTheme="minorEastAsia" w:hAnsiTheme="minorEastAsia" w:cstheme="minorEastAsia"/>
          <w:color w:val="auto"/>
          <w:sz w:val="28"/>
          <w:szCs w:val="28"/>
          <w:shd w:val="clear" w:color="auto" w:fill="FFFFFF"/>
          <w:lang w:val="en-US"/>
        </w:rPr>
        <w:t>813.29</w:t>
      </w:r>
      <w:r>
        <w:rPr>
          <w:rFonts w:hint="eastAsia" w:asciiTheme="minorEastAsia" w:hAnsiTheme="minorEastAsia" w:eastAsiaTheme="minorEastAsia" w:cstheme="minorEastAsia"/>
          <w:color w:val="auto"/>
          <w:sz w:val="28"/>
          <w:szCs w:val="28"/>
          <w:shd w:val="clear" w:color="auto" w:fill="FFFFFF"/>
        </w:rPr>
        <w:t>万元，公用经费</w:t>
      </w:r>
      <w:r>
        <w:rPr>
          <w:rFonts w:hint="default" w:asciiTheme="minorEastAsia" w:hAnsiTheme="minorEastAsia" w:cstheme="minorEastAsia"/>
          <w:color w:val="auto"/>
          <w:sz w:val="28"/>
          <w:szCs w:val="28"/>
          <w:shd w:val="clear" w:color="auto" w:fill="FFFFFF"/>
          <w:lang w:val="en-US"/>
        </w:rPr>
        <w:t>51.94</w:t>
      </w:r>
      <w:r>
        <w:rPr>
          <w:rFonts w:hint="eastAsia" w:asciiTheme="minorEastAsia" w:hAnsiTheme="minorEastAsia" w:eastAsiaTheme="minorEastAsia" w:cstheme="minorEastAsia"/>
          <w:color w:val="auto"/>
          <w:sz w:val="28"/>
          <w:szCs w:val="28"/>
          <w:shd w:val="clear" w:color="auto" w:fill="FFFFFF"/>
        </w:rPr>
        <w:t>万元；201</w:t>
      </w:r>
      <w:r>
        <w:rPr>
          <w:rFonts w:hint="default" w:asciiTheme="minorEastAsia" w:hAnsiTheme="minorEastAsia" w:cstheme="minorEastAsia"/>
          <w:color w:val="auto"/>
          <w:sz w:val="28"/>
          <w:szCs w:val="28"/>
          <w:shd w:val="clear" w:color="auto" w:fill="FFFFFF"/>
          <w:lang w:val="en-US"/>
        </w:rPr>
        <w:t>9</w:t>
      </w:r>
      <w:r>
        <w:rPr>
          <w:rFonts w:hint="eastAsia" w:asciiTheme="minorEastAsia" w:hAnsiTheme="minorEastAsia" w:eastAsiaTheme="minorEastAsia" w:cstheme="minorEastAsia"/>
          <w:color w:val="auto"/>
          <w:sz w:val="28"/>
          <w:szCs w:val="28"/>
          <w:shd w:val="clear" w:color="auto" w:fill="FFFFFF"/>
        </w:rPr>
        <w:t>年度财政支出预算数</w:t>
      </w:r>
      <w:r>
        <w:rPr>
          <w:rFonts w:hint="default" w:asciiTheme="minorEastAsia" w:hAnsiTheme="minorEastAsia" w:cstheme="minorEastAsia"/>
          <w:color w:val="auto"/>
          <w:sz w:val="28"/>
          <w:szCs w:val="28"/>
          <w:shd w:val="clear" w:color="auto" w:fill="FFFFFF"/>
          <w:lang w:val="en-US"/>
        </w:rPr>
        <w:t>865.23</w:t>
      </w:r>
      <w:r>
        <w:rPr>
          <w:rFonts w:hint="eastAsia" w:asciiTheme="minorEastAsia" w:hAnsiTheme="minorEastAsia" w:eastAsiaTheme="minorEastAsia" w:cstheme="minorEastAsia"/>
          <w:color w:val="auto"/>
          <w:sz w:val="28"/>
          <w:szCs w:val="28"/>
          <w:shd w:val="clear" w:color="auto" w:fill="FFFFFF"/>
        </w:rPr>
        <w:t>万元，其中人员经费</w:t>
      </w:r>
      <w:r>
        <w:rPr>
          <w:rFonts w:hint="default" w:asciiTheme="minorEastAsia" w:hAnsiTheme="minorEastAsia" w:cstheme="minorEastAsia"/>
          <w:color w:val="auto"/>
          <w:sz w:val="28"/>
          <w:szCs w:val="28"/>
          <w:shd w:val="clear" w:color="auto" w:fill="FFFFFF"/>
          <w:lang w:val="en-US"/>
        </w:rPr>
        <w:t>813.29</w:t>
      </w:r>
      <w:r>
        <w:rPr>
          <w:rFonts w:hint="eastAsia" w:asciiTheme="minorEastAsia" w:hAnsiTheme="minorEastAsia" w:eastAsiaTheme="minorEastAsia" w:cstheme="minorEastAsia"/>
          <w:color w:val="auto"/>
          <w:sz w:val="28"/>
          <w:szCs w:val="28"/>
          <w:shd w:val="clear" w:color="auto" w:fill="FFFFFF"/>
        </w:rPr>
        <w:t>万元，公用经费</w:t>
      </w:r>
      <w:r>
        <w:rPr>
          <w:rFonts w:hint="default" w:asciiTheme="minorEastAsia" w:hAnsiTheme="minorEastAsia" w:cstheme="minorEastAsia"/>
          <w:color w:val="auto"/>
          <w:sz w:val="28"/>
          <w:szCs w:val="28"/>
          <w:shd w:val="clear" w:color="auto" w:fill="FFFFFF"/>
          <w:lang w:val="en-US"/>
        </w:rPr>
        <w:t>51.94</w:t>
      </w:r>
      <w:r>
        <w:rPr>
          <w:rFonts w:hint="eastAsia" w:asciiTheme="minorEastAsia" w:hAnsiTheme="minorEastAsia" w:eastAsiaTheme="minorEastAsia" w:cstheme="minorEastAsia"/>
          <w:color w:val="auto"/>
          <w:sz w:val="28"/>
          <w:szCs w:val="28"/>
          <w:shd w:val="clear" w:color="auto" w:fill="FFFFFF"/>
        </w:rPr>
        <w:t>万元。20</w:t>
      </w:r>
      <w:r>
        <w:rPr>
          <w:rFonts w:hint="default" w:asciiTheme="minorEastAsia" w:hAnsiTheme="minorEastAsia" w:cstheme="minorEastAsia"/>
          <w:color w:val="auto"/>
          <w:sz w:val="28"/>
          <w:szCs w:val="28"/>
          <w:shd w:val="clear" w:color="auto" w:fill="FFFFFF"/>
          <w:lang w:val="en-US"/>
        </w:rPr>
        <w:t>20</w:t>
      </w:r>
      <w:r>
        <w:rPr>
          <w:rFonts w:hint="eastAsia" w:asciiTheme="minorEastAsia" w:hAnsiTheme="minorEastAsia" w:cstheme="minorEastAsia"/>
          <w:color w:val="auto"/>
          <w:sz w:val="28"/>
          <w:szCs w:val="28"/>
          <w:shd w:val="clear" w:color="auto" w:fill="FFFFFF"/>
          <w:lang w:val="en-US" w:eastAsia="zh-CN"/>
        </w:rPr>
        <w:t>年</w:t>
      </w:r>
      <w:r>
        <w:rPr>
          <w:rFonts w:hint="eastAsia" w:asciiTheme="minorEastAsia" w:hAnsiTheme="minorEastAsia" w:eastAsiaTheme="minorEastAsia" w:cstheme="minorEastAsia"/>
          <w:color w:val="auto"/>
          <w:sz w:val="28"/>
          <w:szCs w:val="28"/>
          <w:shd w:val="clear" w:color="auto" w:fill="FFFFFF"/>
        </w:rPr>
        <w:t>收入预算数比上年</w:t>
      </w:r>
      <w:r>
        <w:rPr>
          <w:rFonts w:hint="eastAsia" w:asciiTheme="minorEastAsia" w:hAnsiTheme="minorEastAsia" w:cstheme="minorEastAsia"/>
          <w:color w:val="auto"/>
          <w:sz w:val="28"/>
          <w:szCs w:val="28"/>
          <w:shd w:val="clear" w:color="auto" w:fill="FFFFFF"/>
          <w:lang w:eastAsia="zh-CN"/>
        </w:rPr>
        <w:t>减少</w:t>
      </w:r>
      <w:r>
        <w:rPr>
          <w:rFonts w:hint="eastAsia" w:asciiTheme="minorEastAsia" w:hAnsiTheme="minorEastAsia" w:cstheme="minorEastAsia"/>
          <w:color w:val="auto"/>
          <w:sz w:val="28"/>
          <w:szCs w:val="28"/>
          <w:shd w:val="clear" w:color="auto" w:fill="FFFFFF"/>
          <w:lang w:val="en-US" w:eastAsia="zh-CN"/>
        </w:rPr>
        <w:t>95.77</w:t>
      </w:r>
      <w:r>
        <w:rPr>
          <w:rFonts w:hint="eastAsia" w:asciiTheme="minorEastAsia" w:hAnsiTheme="minorEastAsia" w:eastAsiaTheme="minorEastAsia" w:cstheme="minorEastAsia"/>
          <w:color w:val="auto"/>
          <w:sz w:val="28"/>
          <w:szCs w:val="28"/>
          <w:shd w:val="clear" w:color="auto" w:fill="FFFFFF"/>
        </w:rPr>
        <w:t>万元，20</w:t>
      </w:r>
      <w:r>
        <w:rPr>
          <w:rFonts w:hint="eastAsia" w:asciiTheme="minorEastAsia" w:hAnsiTheme="minorEastAsia" w:cstheme="minorEastAsia"/>
          <w:color w:val="auto"/>
          <w:sz w:val="28"/>
          <w:szCs w:val="28"/>
          <w:shd w:val="clear" w:color="auto" w:fill="FFFFFF"/>
          <w:lang w:val="en-US" w:eastAsia="zh-CN"/>
        </w:rPr>
        <w:t>20</w:t>
      </w:r>
      <w:r>
        <w:rPr>
          <w:rFonts w:hint="eastAsia" w:asciiTheme="minorEastAsia" w:hAnsiTheme="minorEastAsia" w:eastAsiaTheme="minorEastAsia" w:cstheme="minorEastAsia"/>
          <w:color w:val="auto"/>
          <w:sz w:val="28"/>
          <w:szCs w:val="28"/>
          <w:shd w:val="clear" w:color="auto" w:fill="FFFFFF"/>
        </w:rPr>
        <w:t>支出预算数比上年</w:t>
      </w:r>
      <w:r>
        <w:rPr>
          <w:rFonts w:hint="eastAsia" w:asciiTheme="minorEastAsia" w:hAnsiTheme="minorEastAsia" w:cstheme="minorEastAsia"/>
          <w:color w:val="auto"/>
          <w:sz w:val="28"/>
          <w:szCs w:val="28"/>
          <w:shd w:val="clear" w:color="auto" w:fill="FFFFFF"/>
          <w:lang w:eastAsia="zh-CN"/>
        </w:rPr>
        <w:t>减少</w:t>
      </w:r>
      <w:r>
        <w:rPr>
          <w:rFonts w:hint="eastAsia" w:asciiTheme="minorEastAsia" w:hAnsiTheme="minorEastAsia" w:cstheme="minorEastAsia"/>
          <w:color w:val="auto"/>
          <w:sz w:val="28"/>
          <w:szCs w:val="28"/>
          <w:shd w:val="clear" w:color="auto" w:fill="FFFFFF"/>
          <w:lang w:val="en-US" w:eastAsia="zh-CN"/>
        </w:rPr>
        <w:t>95.77</w:t>
      </w:r>
      <w:r>
        <w:rPr>
          <w:rFonts w:hint="eastAsia" w:asciiTheme="minorEastAsia" w:hAnsiTheme="minorEastAsia" w:eastAsiaTheme="minorEastAsia" w:cstheme="minorEastAsia"/>
          <w:color w:val="auto"/>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cstheme="minorEastAsia"/>
          <w:color w:val="auto"/>
          <w:sz w:val="28"/>
          <w:szCs w:val="28"/>
          <w:shd w:val="clear" w:color="auto" w:fill="FFFFFF"/>
          <w:lang w:val="en-US" w:eastAsia="zh-CN"/>
        </w:rPr>
        <w:t>1、</w:t>
      </w:r>
      <w:r>
        <w:rPr>
          <w:rFonts w:hint="eastAsia" w:asciiTheme="minorEastAsia" w:hAnsiTheme="minorEastAsia" w:eastAsiaTheme="minorEastAsia" w:cstheme="minorEastAsia"/>
          <w:color w:val="auto"/>
          <w:sz w:val="28"/>
          <w:szCs w:val="28"/>
          <w:shd w:val="clear" w:color="auto" w:fill="FFFFFF"/>
        </w:rPr>
        <w:t>收入与预算对比分析</w:t>
      </w:r>
    </w:p>
    <w:p>
      <w:pPr>
        <w:pStyle w:val="6"/>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20</w:t>
      </w:r>
      <w:r>
        <w:rPr>
          <w:rFonts w:hint="eastAsia" w:asciiTheme="minorEastAsia" w:hAnsiTheme="minorEastAsia" w:cstheme="minorEastAsia"/>
          <w:color w:val="auto"/>
          <w:sz w:val="28"/>
          <w:szCs w:val="28"/>
          <w:shd w:val="clear" w:color="auto" w:fill="FFFFFF"/>
          <w:lang w:val="en-US" w:eastAsia="zh-CN"/>
        </w:rPr>
        <w:t>20</w:t>
      </w:r>
      <w:r>
        <w:rPr>
          <w:rFonts w:hint="eastAsia" w:asciiTheme="minorEastAsia" w:hAnsiTheme="minorEastAsia" w:eastAsiaTheme="minorEastAsia" w:cstheme="minorEastAsia"/>
          <w:color w:val="auto"/>
          <w:sz w:val="28"/>
          <w:szCs w:val="28"/>
          <w:shd w:val="clear" w:color="auto" w:fill="FFFFFF"/>
        </w:rPr>
        <w:t>年全年总收入</w:t>
      </w:r>
      <w:r>
        <w:rPr>
          <w:rFonts w:hint="eastAsia" w:asciiTheme="minorEastAsia" w:hAnsiTheme="minorEastAsia" w:cstheme="minorEastAsia"/>
          <w:color w:val="auto"/>
          <w:sz w:val="28"/>
          <w:szCs w:val="28"/>
          <w:shd w:val="clear" w:color="auto" w:fill="FFFFFF"/>
          <w:lang w:val="en-US" w:eastAsia="zh-CN"/>
        </w:rPr>
        <w:t>1315.18</w:t>
      </w:r>
      <w:r>
        <w:rPr>
          <w:rFonts w:hint="eastAsia" w:asciiTheme="minorEastAsia" w:hAnsiTheme="minorEastAsia" w:eastAsiaTheme="minorEastAsia" w:cstheme="minorEastAsia"/>
          <w:color w:val="auto"/>
          <w:sz w:val="28"/>
          <w:szCs w:val="28"/>
          <w:shd w:val="clear" w:color="auto" w:fill="FFFFFF"/>
        </w:rPr>
        <w:t>万元。其中财政决算收入</w:t>
      </w:r>
      <w:r>
        <w:rPr>
          <w:rFonts w:hint="eastAsia" w:asciiTheme="minorEastAsia" w:hAnsiTheme="minorEastAsia" w:cstheme="minorEastAsia"/>
          <w:color w:val="auto"/>
          <w:sz w:val="28"/>
          <w:szCs w:val="28"/>
          <w:shd w:val="clear" w:color="auto" w:fill="FFFFFF"/>
          <w:lang w:val="en-US" w:eastAsia="zh-CN"/>
        </w:rPr>
        <w:t>1201.91</w:t>
      </w:r>
      <w:r>
        <w:rPr>
          <w:rFonts w:hint="eastAsia" w:asciiTheme="minorEastAsia" w:hAnsiTheme="minorEastAsia" w:eastAsiaTheme="minorEastAsia" w:cstheme="minorEastAsia"/>
          <w:color w:val="auto"/>
          <w:sz w:val="28"/>
          <w:szCs w:val="28"/>
          <w:shd w:val="clear" w:color="auto" w:fill="FFFFFF"/>
        </w:rPr>
        <w:t>万元，其他收入</w:t>
      </w:r>
      <w:r>
        <w:rPr>
          <w:rFonts w:hint="eastAsia" w:asciiTheme="minorEastAsia" w:hAnsiTheme="minorEastAsia" w:cstheme="minorEastAsia"/>
          <w:color w:val="auto"/>
          <w:sz w:val="28"/>
          <w:szCs w:val="28"/>
          <w:shd w:val="clear" w:color="auto" w:fill="FFFFFF"/>
          <w:lang w:val="en-US" w:eastAsia="zh-CN"/>
        </w:rPr>
        <w:t>113.27</w:t>
      </w:r>
      <w:r>
        <w:rPr>
          <w:rFonts w:hint="eastAsia" w:asciiTheme="minorEastAsia" w:hAnsiTheme="minorEastAsia" w:eastAsiaTheme="minorEastAsia" w:cstheme="minorEastAsia"/>
          <w:color w:val="auto"/>
          <w:sz w:val="28"/>
          <w:szCs w:val="28"/>
          <w:shd w:val="clear" w:color="auto" w:fill="FFFFFF"/>
        </w:rPr>
        <w:t>万元。20</w:t>
      </w:r>
      <w:r>
        <w:rPr>
          <w:rFonts w:hint="eastAsia" w:asciiTheme="minorEastAsia" w:hAnsiTheme="minorEastAsia" w:cstheme="minorEastAsia"/>
          <w:color w:val="auto"/>
          <w:sz w:val="28"/>
          <w:szCs w:val="28"/>
          <w:shd w:val="clear" w:color="auto" w:fill="FFFFFF"/>
          <w:lang w:val="en-US" w:eastAsia="zh-CN"/>
        </w:rPr>
        <w:t>20</w:t>
      </w:r>
      <w:r>
        <w:rPr>
          <w:rFonts w:hint="eastAsia" w:asciiTheme="minorEastAsia" w:hAnsiTheme="minorEastAsia" w:eastAsiaTheme="minorEastAsia" w:cstheme="minorEastAsia"/>
          <w:color w:val="auto"/>
          <w:sz w:val="28"/>
          <w:szCs w:val="28"/>
          <w:shd w:val="clear" w:color="auto" w:fill="FFFFFF"/>
        </w:rPr>
        <w:t>年全年决算总支出</w:t>
      </w:r>
      <w:r>
        <w:rPr>
          <w:rFonts w:hint="eastAsia" w:asciiTheme="minorEastAsia" w:hAnsiTheme="minorEastAsia" w:cstheme="minorEastAsia"/>
          <w:color w:val="auto"/>
          <w:sz w:val="28"/>
          <w:szCs w:val="28"/>
          <w:shd w:val="clear" w:color="auto" w:fill="FFFFFF"/>
          <w:lang w:val="en-US" w:eastAsia="zh-CN"/>
        </w:rPr>
        <w:t>1201.91</w:t>
      </w:r>
      <w:r>
        <w:rPr>
          <w:rFonts w:hint="eastAsia" w:asciiTheme="minorEastAsia" w:hAnsiTheme="minorEastAsia" w:eastAsiaTheme="minorEastAsia" w:cstheme="minorEastAsia"/>
          <w:color w:val="auto"/>
          <w:sz w:val="28"/>
          <w:szCs w:val="28"/>
          <w:shd w:val="clear" w:color="auto" w:fill="FFFFFF"/>
        </w:rPr>
        <w:t>万元，其中财政决算支出1204</w:t>
      </w:r>
      <w:r>
        <w:rPr>
          <w:rFonts w:hint="default" w:asciiTheme="minorEastAsia" w:hAnsiTheme="minorEastAsia" w:cstheme="minorEastAsia"/>
          <w:color w:val="auto"/>
          <w:sz w:val="28"/>
          <w:szCs w:val="28"/>
          <w:shd w:val="clear" w:color="auto" w:fill="FFFFFF"/>
          <w:lang w:val="en-US"/>
        </w:rPr>
        <w:t>.</w:t>
      </w:r>
      <w:r>
        <w:rPr>
          <w:rFonts w:hint="eastAsia" w:asciiTheme="minorEastAsia" w:hAnsiTheme="minorEastAsia" w:eastAsiaTheme="minorEastAsia" w:cstheme="minorEastAsia"/>
          <w:color w:val="auto"/>
          <w:sz w:val="28"/>
          <w:szCs w:val="28"/>
          <w:shd w:val="clear" w:color="auto" w:fill="FFFFFF"/>
        </w:rPr>
        <w:t>3</w:t>
      </w:r>
      <w:r>
        <w:rPr>
          <w:rFonts w:hint="default" w:asciiTheme="minorEastAsia" w:hAnsiTheme="minorEastAsia" w:cstheme="minorEastAsia"/>
          <w:color w:val="auto"/>
          <w:sz w:val="28"/>
          <w:szCs w:val="28"/>
          <w:shd w:val="clear" w:color="auto" w:fill="FFFFFF"/>
          <w:lang w:val="en-US"/>
        </w:rPr>
        <w:t>6</w:t>
      </w:r>
      <w:r>
        <w:rPr>
          <w:rFonts w:hint="eastAsia" w:asciiTheme="minorEastAsia" w:hAnsiTheme="minorEastAsia" w:eastAsiaTheme="minorEastAsia" w:cstheme="minorEastAsia"/>
          <w:color w:val="auto"/>
          <w:sz w:val="28"/>
          <w:szCs w:val="28"/>
          <w:shd w:val="clear" w:color="auto" w:fill="FFFFFF"/>
        </w:rPr>
        <w:t>万元，其他资金支出</w:t>
      </w:r>
      <w:r>
        <w:rPr>
          <w:rFonts w:hint="eastAsia" w:asciiTheme="minorEastAsia" w:hAnsiTheme="minorEastAsia" w:cstheme="minorEastAsia"/>
          <w:color w:val="auto"/>
          <w:sz w:val="28"/>
          <w:szCs w:val="28"/>
          <w:shd w:val="clear" w:color="auto" w:fill="FFFFFF"/>
          <w:lang w:val="en-US" w:eastAsia="zh-CN"/>
        </w:rPr>
        <w:t>113.27</w:t>
      </w:r>
      <w:r>
        <w:rPr>
          <w:rFonts w:hint="eastAsia" w:asciiTheme="minorEastAsia" w:hAnsiTheme="minorEastAsia" w:eastAsiaTheme="minorEastAsia" w:cstheme="minorEastAsia"/>
          <w:color w:val="auto"/>
          <w:sz w:val="28"/>
          <w:szCs w:val="28"/>
          <w:shd w:val="clear" w:color="auto" w:fill="FFFFFF"/>
        </w:rPr>
        <w:t>万元。20</w:t>
      </w:r>
      <w:r>
        <w:rPr>
          <w:rFonts w:hint="eastAsia" w:asciiTheme="minorEastAsia" w:hAnsiTheme="minorEastAsia" w:cstheme="minorEastAsia"/>
          <w:color w:val="auto"/>
          <w:sz w:val="28"/>
          <w:szCs w:val="28"/>
          <w:shd w:val="clear" w:color="auto" w:fill="FFFFFF"/>
          <w:lang w:val="en-US" w:eastAsia="zh-CN"/>
        </w:rPr>
        <w:t>20</w:t>
      </w:r>
      <w:r>
        <w:rPr>
          <w:rFonts w:hint="eastAsia" w:asciiTheme="minorEastAsia" w:hAnsiTheme="minorEastAsia" w:eastAsiaTheme="minorEastAsia" w:cstheme="minorEastAsia"/>
          <w:color w:val="auto"/>
          <w:sz w:val="28"/>
          <w:szCs w:val="28"/>
          <w:shd w:val="clear" w:color="auto" w:fill="FFFFFF"/>
        </w:rPr>
        <w:t>年度财政收入预算数</w:t>
      </w:r>
      <w:r>
        <w:rPr>
          <w:rFonts w:hint="default" w:asciiTheme="minorEastAsia" w:hAnsiTheme="minorEastAsia" w:cstheme="minorEastAsia"/>
          <w:color w:val="auto"/>
          <w:sz w:val="28"/>
          <w:szCs w:val="28"/>
          <w:shd w:val="clear" w:color="auto" w:fill="FFFFFF"/>
          <w:lang w:val="en-US"/>
        </w:rPr>
        <w:t>769.46</w:t>
      </w:r>
      <w:r>
        <w:rPr>
          <w:rFonts w:hint="eastAsia" w:asciiTheme="minorEastAsia" w:hAnsiTheme="minorEastAsia" w:eastAsiaTheme="minorEastAsia" w:cstheme="minorEastAsia"/>
          <w:color w:val="auto"/>
          <w:sz w:val="28"/>
          <w:szCs w:val="28"/>
          <w:shd w:val="clear" w:color="auto" w:fill="FFFFFF"/>
        </w:rPr>
        <w:t>万元，财拔决算比预算多</w:t>
      </w:r>
      <w:r>
        <w:rPr>
          <w:rFonts w:hint="eastAsia" w:asciiTheme="minorEastAsia" w:hAnsiTheme="minorEastAsia" w:cstheme="minorEastAsia"/>
          <w:color w:val="auto"/>
          <w:sz w:val="28"/>
          <w:szCs w:val="28"/>
          <w:shd w:val="clear" w:color="auto" w:fill="FFFFFF"/>
          <w:lang w:val="en-US" w:eastAsia="zh-CN"/>
        </w:rPr>
        <w:t>545.72</w:t>
      </w:r>
      <w:r>
        <w:rPr>
          <w:rFonts w:hint="eastAsia" w:asciiTheme="minorEastAsia" w:hAnsiTheme="minorEastAsia" w:eastAsiaTheme="minorEastAsia" w:cstheme="minorEastAsia"/>
          <w:color w:val="auto"/>
          <w:sz w:val="28"/>
          <w:szCs w:val="28"/>
          <w:shd w:val="clear" w:color="auto" w:fill="FFFFFF"/>
        </w:rPr>
        <w:t>万元，增幅</w:t>
      </w:r>
      <w:r>
        <w:rPr>
          <w:rFonts w:hint="eastAsia" w:asciiTheme="minorEastAsia" w:hAnsiTheme="minorEastAsia" w:cstheme="minorEastAsia"/>
          <w:color w:val="auto"/>
          <w:sz w:val="28"/>
          <w:szCs w:val="28"/>
          <w:shd w:val="clear" w:color="auto" w:fill="FFFFFF"/>
          <w:lang w:val="en-US" w:eastAsia="zh-CN"/>
        </w:rPr>
        <w:t>70.9</w:t>
      </w:r>
      <w:r>
        <w:rPr>
          <w:rFonts w:hint="eastAsia" w:asciiTheme="minorEastAsia" w:hAnsiTheme="minorEastAsia" w:eastAsiaTheme="minorEastAsia" w:cstheme="minorEastAsia"/>
          <w:color w:val="auto"/>
          <w:sz w:val="28"/>
          <w:szCs w:val="28"/>
          <w:shd w:val="clear" w:color="auto" w:fill="FFFFFF"/>
        </w:rPr>
        <w:t>%，原因为</w:t>
      </w:r>
      <w:r>
        <w:rPr>
          <w:rFonts w:hint="eastAsia" w:asciiTheme="minorEastAsia" w:hAnsiTheme="minorEastAsia" w:cstheme="minorEastAsia"/>
          <w:color w:val="auto"/>
          <w:sz w:val="28"/>
          <w:szCs w:val="28"/>
          <w:shd w:val="clear" w:color="auto" w:fill="FFFFFF"/>
          <w:lang w:val="en-US" w:eastAsia="zh-CN"/>
        </w:rPr>
        <w:t>2020年增补教师绩效</w:t>
      </w:r>
      <w:r>
        <w:rPr>
          <w:rFonts w:hint="eastAsia" w:asciiTheme="minorEastAsia" w:hAnsiTheme="minorEastAsia" w:cstheme="minorEastAsia"/>
          <w:color w:val="auto"/>
          <w:sz w:val="28"/>
          <w:szCs w:val="28"/>
          <w:shd w:val="clear" w:color="auto" w:fill="FFFFFF"/>
          <w:lang w:eastAsia="zh-CN"/>
        </w:rPr>
        <w:t>工资</w:t>
      </w:r>
      <w:r>
        <w:rPr>
          <w:rFonts w:hint="eastAsia" w:asciiTheme="minorEastAsia" w:hAnsiTheme="minorEastAsia" w:eastAsiaTheme="minorEastAsia" w:cstheme="minorEastAsia"/>
          <w:color w:val="auto"/>
          <w:sz w:val="28"/>
          <w:szCs w:val="28"/>
          <w:shd w:val="clear" w:color="auto" w:fill="FFFFFF"/>
        </w:rPr>
        <w:t>资金需求。</w:t>
      </w:r>
    </w:p>
    <w:p>
      <w:pPr>
        <w:pStyle w:val="6"/>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cstheme="minorEastAsia"/>
          <w:color w:val="auto"/>
          <w:sz w:val="28"/>
          <w:szCs w:val="28"/>
          <w:shd w:val="clear" w:color="auto" w:fill="FFFFFF"/>
          <w:lang w:val="en-US" w:eastAsia="zh-CN"/>
        </w:rPr>
        <w:t>2、</w:t>
      </w:r>
      <w:r>
        <w:rPr>
          <w:rFonts w:hint="eastAsia" w:asciiTheme="minorEastAsia" w:hAnsiTheme="minorEastAsia" w:eastAsiaTheme="minorEastAsia" w:cstheme="minorEastAsia"/>
          <w:color w:val="auto"/>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20</w:t>
      </w:r>
      <w:r>
        <w:rPr>
          <w:rFonts w:hint="eastAsia" w:asciiTheme="minorEastAsia" w:hAnsiTheme="minorEastAsia" w:cstheme="minorEastAsia"/>
          <w:color w:val="auto"/>
          <w:sz w:val="28"/>
          <w:szCs w:val="28"/>
          <w:shd w:val="clear" w:color="auto" w:fill="FFFFFF"/>
          <w:lang w:val="en-US" w:eastAsia="zh-CN"/>
        </w:rPr>
        <w:t>20</w:t>
      </w:r>
      <w:r>
        <w:rPr>
          <w:rFonts w:hint="eastAsia" w:asciiTheme="minorEastAsia" w:hAnsiTheme="minorEastAsia" w:eastAsiaTheme="minorEastAsia" w:cstheme="minorEastAsia"/>
          <w:color w:val="auto"/>
          <w:sz w:val="28"/>
          <w:szCs w:val="28"/>
          <w:shd w:val="clear" w:color="auto" w:fill="FFFFFF"/>
        </w:rPr>
        <w:t>年全年总收入</w:t>
      </w:r>
      <w:r>
        <w:rPr>
          <w:rFonts w:hint="eastAsia" w:asciiTheme="minorEastAsia" w:hAnsiTheme="minorEastAsia" w:cstheme="minorEastAsia"/>
          <w:color w:val="auto"/>
          <w:sz w:val="28"/>
          <w:szCs w:val="28"/>
          <w:shd w:val="clear" w:color="auto" w:fill="FFFFFF"/>
          <w:lang w:val="en-US" w:eastAsia="zh-CN"/>
        </w:rPr>
        <w:t>1315.18</w:t>
      </w:r>
      <w:r>
        <w:rPr>
          <w:rFonts w:hint="eastAsia" w:asciiTheme="minorEastAsia" w:hAnsiTheme="minorEastAsia" w:eastAsiaTheme="minorEastAsia" w:cstheme="minorEastAsia"/>
          <w:color w:val="auto"/>
          <w:sz w:val="28"/>
          <w:szCs w:val="28"/>
          <w:shd w:val="clear" w:color="auto" w:fill="FFFFFF"/>
        </w:rPr>
        <w:t>万元。其中财政决算收入</w:t>
      </w:r>
      <w:r>
        <w:rPr>
          <w:rFonts w:hint="eastAsia" w:asciiTheme="minorEastAsia" w:hAnsiTheme="minorEastAsia" w:cstheme="minorEastAsia"/>
          <w:color w:val="auto"/>
          <w:sz w:val="28"/>
          <w:szCs w:val="28"/>
          <w:shd w:val="clear" w:color="auto" w:fill="FFFFFF"/>
          <w:lang w:val="en-US" w:eastAsia="zh-CN"/>
        </w:rPr>
        <w:t>1201.91</w:t>
      </w:r>
      <w:r>
        <w:rPr>
          <w:rFonts w:hint="eastAsia" w:asciiTheme="minorEastAsia" w:hAnsiTheme="minorEastAsia" w:eastAsiaTheme="minorEastAsia" w:cstheme="minorEastAsia"/>
          <w:color w:val="auto"/>
          <w:sz w:val="28"/>
          <w:szCs w:val="28"/>
          <w:shd w:val="clear" w:color="auto" w:fill="FFFFFF"/>
        </w:rPr>
        <w:t>万元，其他收入</w:t>
      </w:r>
      <w:r>
        <w:rPr>
          <w:rFonts w:hint="eastAsia" w:asciiTheme="minorEastAsia" w:hAnsiTheme="minorEastAsia" w:cstheme="minorEastAsia"/>
          <w:color w:val="auto"/>
          <w:sz w:val="28"/>
          <w:szCs w:val="28"/>
          <w:shd w:val="clear" w:color="auto" w:fill="FFFFFF"/>
          <w:lang w:val="en-US" w:eastAsia="zh-CN"/>
        </w:rPr>
        <w:t>113.27</w:t>
      </w:r>
      <w:r>
        <w:rPr>
          <w:rFonts w:hint="eastAsia" w:asciiTheme="minorEastAsia" w:hAnsiTheme="minorEastAsia" w:eastAsiaTheme="minorEastAsia" w:cstheme="minorEastAsia"/>
          <w:color w:val="auto"/>
          <w:sz w:val="28"/>
          <w:szCs w:val="28"/>
          <w:shd w:val="clear" w:color="auto" w:fill="FFFFFF"/>
        </w:rPr>
        <w:t>万元</w:t>
      </w:r>
      <w:r>
        <w:rPr>
          <w:rFonts w:hint="eastAsia" w:asciiTheme="minorEastAsia" w:hAnsiTheme="minorEastAsia" w:cstheme="minorEastAsia"/>
          <w:color w:val="auto"/>
          <w:sz w:val="28"/>
          <w:szCs w:val="28"/>
          <w:shd w:val="clear" w:color="auto" w:fill="FFFFFF"/>
          <w:lang w:eastAsia="zh-CN"/>
        </w:rPr>
        <w:t>；</w:t>
      </w:r>
      <w:r>
        <w:rPr>
          <w:rFonts w:hint="eastAsia" w:asciiTheme="minorEastAsia" w:hAnsiTheme="minorEastAsia" w:eastAsiaTheme="minorEastAsia" w:cstheme="minorEastAsia"/>
          <w:color w:val="auto"/>
          <w:sz w:val="28"/>
          <w:szCs w:val="28"/>
          <w:shd w:val="clear" w:color="auto" w:fill="FFFFFF"/>
        </w:rPr>
        <w:t>20</w:t>
      </w:r>
      <w:r>
        <w:rPr>
          <w:rFonts w:hint="eastAsia" w:asciiTheme="minorEastAsia" w:hAnsiTheme="minorEastAsia" w:cstheme="minorEastAsia"/>
          <w:color w:val="auto"/>
          <w:sz w:val="28"/>
          <w:szCs w:val="28"/>
          <w:shd w:val="clear" w:color="auto" w:fill="FFFFFF"/>
          <w:lang w:val="en-US" w:eastAsia="zh-CN"/>
        </w:rPr>
        <w:t>20</w:t>
      </w:r>
      <w:r>
        <w:rPr>
          <w:rFonts w:hint="eastAsia" w:asciiTheme="minorEastAsia" w:hAnsiTheme="minorEastAsia" w:eastAsiaTheme="minorEastAsia" w:cstheme="minorEastAsia"/>
          <w:color w:val="auto"/>
          <w:sz w:val="28"/>
          <w:szCs w:val="28"/>
          <w:shd w:val="clear" w:color="auto" w:fill="FFFFFF"/>
        </w:rPr>
        <w:t>年全年决算总支出</w:t>
      </w:r>
      <w:r>
        <w:rPr>
          <w:rFonts w:hint="eastAsia" w:asciiTheme="minorEastAsia" w:hAnsiTheme="minorEastAsia" w:cstheme="minorEastAsia"/>
          <w:color w:val="auto"/>
          <w:sz w:val="28"/>
          <w:szCs w:val="28"/>
          <w:shd w:val="clear" w:color="auto" w:fill="FFFFFF"/>
          <w:lang w:val="en-US" w:eastAsia="zh-CN"/>
        </w:rPr>
        <w:t>1315.18</w:t>
      </w:r>
      <w:r>
        <w:rPr>
          <w:rFonts w:hint="eastAsia" w:asciiTheme="minorEastAsia" w:hAnsiTheme="minorEastAsia" w:eastAsiaTheme="minorEastAsia" w:cstheme="minorEastAsia"/>
          <w:color w:val="auto"/>
          <w:sz w:val="28"/>
          <w:szCs w:val="28"/>
          <w:shd w:val="clear" w:color="auto" w:fill="FFFFFF"/>
        </w:rPr>
        <w:t>万元，其中财政决算支出</w:t>
      </w:r>
      <w:r>
        <w:rPr>
          <w:rFonts w:hint="eastAsia" w:asciiTheme="minorEastAsia" w:hAnsiTheme="minorEastAsia" w:cstheme="minorEastAsia"/>
          <w:color w:val="auto"/>
          <w:sz w:val="28"/>
          <w:szCs w:val="28"/>
          <w:shd w:val="clear" w:color="auto" w:fill="FFFFFF"/>
          <w:lang w:val="en-US" w:eastAsia="zh-CN"/>
        </w:rPr>
        <w:t>1315.18</w:t>
      </w:r>
      <w:r>
        <w:rPr>
          <w:rFonts w:hint="eastAsia" w:asciiTheme="minorEastAsia" w:hAnsiTheme="minorEastAsia" w:eastAsiaTheme="minorEastAsia" w:cstheme="minorEastAsia"/>
          <w:color w:val="auto"/>
          <w:sz w:val="28"/>
          <w:szCs w:val="28"/>
          <w:shd w:val="clear" w:color="auto" w:fill="FFFFFF"/>
        </w:rPr>
        <w:t>万元。支出按以下分类说明</w:t>
      </w:r>
    </w:p>
    <w:p>
      <w:pPr>
        <w:pStyle w:val="6"/>
        <w:widowControl/>
        <w:spacing w:beforeAutospacing="0" w:afterAutospacing="0"/>
        <w:ind w:firstLine="560" w:firstLineChars="20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①支出功能分类：</w:t>
      </w:r>
      <w:r>
        <w:rPr>
          <w:rFonts w:hint="eastAsia" w:asciiTheme="minorEastAsia" w:hAnsiTheme="minorEastAsia" w:cstheme="minorEastAsia"/>
          <w:color w:val="auto"/>
          <w:sz w:val="28"/>
          <w:szCs w:val="28"/>
          <w:shd w:val="clear" w:color="auto" w:fill="FFFFFF"/>
          <w:lang w:val="en-US" w:eastAsia="zh-CN"/>
        </w:rPr>
        <w:t>1201.91</w:t>
      </w:r>
      <w:r>
        <w:rPr>
          <w:rFonts w:hint="eastAsia" w:asciiTheme="minorEastAsia" w:hAnsiTheme="minorEastAsia" w:eastAsiaTheme="minorEastAsia" w:cstheme="minorEastAsia"/>
          <w:color w:val="auto"/>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②支出性质分类：</w:t>
      </w:r>
      <w:r>
        <w:rPr>
          <w:rFonts w:hint="eastAsia" w:asciiTheme="minorEastAsia" w:hAnsiTheme="minorEastAsia" w:cstheme="minorEastAsia"/>
          <w:color w:val="auto"/>
          <w:sz w:val="28"/>
          <w:szCs w:val="28"/>
          <w:shd w:val="clear" w:color="auto" w:fill="FFFFFF"/>
          <w:lang w:val="en-US" w:eastAsia="zh-CN"/>
        </w:rPr>
        <w:t>1201.91</w:t>
      </w:r>
      <w:r>
        <w:rPr>
          <w:rFonts w:hint="eastAsia" w:asciiTheme="minorEastAsia" w:hAnsiTheme="minorEastAsia" w:eastAsiaTheme="minorEastAsia" w:cstheme="minorEastAsia"/>
          <w:color w:val="auto"/>
          <w:sz w:val="28"/>
          <w:szCs w:val="28"/>
          <w:shd w:val="clear" w:color="auto" w:fill="FFFFFF"/>
        </w:rPr>
        <w:t>万元，其中人员经费</w:t>
      </w:r>
      <w:r>
        <w:rPr>
          <w:rFonts w:hint="eastAsia" w:asciiTheme="minorEastAsia" w:hAnsiTheme="minorEastAsia" w:cstheme="minorEastAsia"/>
          <w:color w:val="auto"/>
          <w:sz w:val="28"/>
          <w:szCs w:val="28"/>
          <w:shd w:val="clear" w:color="auto" w:fill="FFFFFF"/>
          <w:lang w:val="en-US" w:eastAsia="zh-CN"/>
        </w:rPr>
        <w:t>1036.94</w:t>
      </w:r>
      <w:r>
        <w:rPr>
          <w:rFonts w:hint="eastAsia" w:asciiTheme="minorEastAsia" w:hAnsiTheme="minorEastAsia" w:eastAsiaTheme="minorEastAsia" w:cstheme="minorEastAsia"/>
          <w:color w:val="auto"/>
          <w:sz w:val="28"/>
          <w:szCs w:val="28"/>
          <w:shd w:val="clear" w:color="auto" w:fill="FFFFFF"/>
        </w:rPr>
        <w:t>万元；公用经费</w:t>
      </w:r>
      <w:r>
        <w:rPr>
          <w:rFonts w:hint="eastAsia" w:asciiTheme="minorEastAsia" w:hAnsiTheme="minorEastAsia" w:cstheme="minorEastAsia"/>
          <w:color w:val="auto"/>
          <w:sz w:val="28"/>
          <w:szCs w:val="28"/>
          <w:shd w:val="clear" w:color="auto" w:fill="FFFFFF"/>
          <w:lang w:val="en-US" w:eastAsia="zh-CN"/>
        </w:rPr>
        <w:t>164.97</w:t>
      </w:r>
      <w:r>
        <w:rPr>
          <w:rFonts w:hint="eastAsia" w:asciiTheme="minorEastAsia" w:hAnsiTheme="minorEastAsia" w:eastAsiaTheme="minorEastAsia" w:cstheme="minorEastAsia"/>
          <w:color w:val="auto"/>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③支出经济分类：</w:t>
      </w:r>
      <w:r>
        <w:rPr>
          <w:rFonts w:hint="eastAsia" w:asciiTheme="minorEastAsia" w:hAnsiTheme="minorEastAsia" w:cstheme="minorEastAsia"/>
          <w:color w:val="auto"/>
          <w:sz w:val="28"/>
          <w:szCs w:val="28"/>
          <w:shd w:val="clear" w:color="auto" w:fill="FFFFFF"/>
          <w:lang w:val="en-US" w:eastAsia="zh-CN"/>
        </w:rPr>
        <w:t>1201.91</w:t>
      </w:r>
      <w:r>
        <w:rPr>
          <w:rFonts w:hint="eastAsia" w:asciiTheme="minorEastAsia" w:hAnsiTheme="minorEastAsia" w:eastAsiaTheme="minorEastAsia" w:cstheme="minorEastAsia"/>
          <w:color w:val="auto"/>
          <w:sz w:val="28"/>
          <w:szCs w:val="28"/>
          <w:shd w:val="clear" w:color="auto" w:fill="FFFFFF"/>
        </w:rPr>
        <w:t>万元。其中工资福利</w:t>
      </w:r>
      <w:r>
        <w:rPr>
          <w:rFonts w:hint="eastAsia" w:asciiTheme="minorEastAsia" w:hAnsiTheme="minorEastAsia" w:cstheme="minorEastAsia"/>
          <w:color w:val="auto"/>
          <w:sz w:val="28"/>
          <w:szCs w:val="28"/>
          <w:shd w:val="clear" w:color="auto" w:fill="FFFFFF"/>
          <w:lang w:val="en-US" w:eastAsia="zh-CN"/>
        </w:rPr>
        <w:t>1033.33万元</w:t>
      </w:r>
      <w:r>
        <w:rPr>
          <w:rFonts w:hint="eastAsia" w:asciiTheme="minorEastAsia" w:hAnsiTheme="minorEastAsia" w:eastAsiaTheme="minorEastAsia" w:cstheme="minorEastAsia"/>
          <w:color w:val="auto"/>
          <w:sz w:val="28"/>
          <w:szCs w:val="28"/>
          <w:shd w:val="clear" w:color="auto" w:fill="FFFFFF"/>
        </w:rPr>
        <w:t>；商品服务支出</w:t>
      </w:r>
      <w:r>
        <w:rPr>
          <w:rFonts w:hint="eastAsia" w:asciiTheme="minorEastAsia" w:hAnsiTheme="minorEastAsia" w:cstheme="minorEastAsia"/>
          <w:color w:val="auto"/>
          <w:sz w:val="28"/>
          <w:szCs w:val="28"/>
          <w:shd w:val="clear" w:color="auto" w:fill="FFFFFF"/>
          <w:lang w:val="en-US" w:eastAsia="zh-CN"/>
        </w:rPr>
        <w:t>160.63</w:t>
      </w:r>
      <w:r>
        <w:rPr>
          <w:rFonts w:hint="eastAsia" w:asciiTheme="minorEastAsia" w:hAnsiTheme="minorEastAsia" w:eastAsiaTheme="minorEastAsia" w:cstheme="minorEastAsia"/>
          <w:color w:val="auto"/>
          <w:sz w:val="28"/>
          <w:szCs w:val="28"/>
          <w:shd w:val="clear" w:color="auto" w:fill="FFFFFF"/>
        </w:rPr>
        <w:t xml:space="preserve">万元；对个人和家庭的补助支出 </w:t>
      </w:r>
      <w:r>
        <w:rPr>
          <w:rFonts w:hint="eastAsia" w:asciiTheme="minorEastAsia" w:hAnsiTheme="minorEastAsia" w:cstheme="minorEastAsia"/>
          <w:color w:val="auto"/>
          <w:sz w:val="28"/>
          <w:szCs w:val="28"/>
          <w:shd w:val="clear" w:color="auto" w:fill="FFFFFF"/>
          <w:lang w:val="en-US" w:eastAsia="zh-CN"/>
        </w:rPr>
        <w:t>3.61</w:t>
      </w:r>
      <w:r>
        <w:rPr>
          <w:rFonts w:hint="eastAsia" w:asciiTheme="minorEastAsia" w:hAnsiTheme="minorEastAsia" w:eastAsiaTheme="minorEastAsia" w:cstheme="minorEastAsia"/>
          <w:color w:val="auto"/>
          <w:sz w:val="28"/>
          <w:szCs w:val="28"/>
          <w:shd w:val="clear" w:color="auto" w:fill="FFFFFF"/>
        </w:rPr>
        <w:t>万元；资本性支出</w:t>
      </w:r>
      <w:r>
        <w:rPr>
          <w:rFonts w:hint="eastAsia" w:asciiTheme="minorEastAsia" w:hAnsiTheme="minorEastAsia" w:cstheme="minorEastAsia"/>
          <w:color w:val="auto"/>
          <w:sz w:val="28"/>
          <w:szCs w:val="28"/>
          <w:shd w:val="clear" w:color="auto" w:fill="FFFFFF"/>
          <w:lang w:val="en-US" w:eastAsia="zh-CN"/>
        </w:rPr>
        <w:t>4.34</w:t>
      </w:r>
      <w:r>
        <w:rPr>
          <w:rFonts w:hint="eastAsia" w:asciiTheme="minorEastAsia" w:hAnsiTheme="minorEastAsia" w:eastAsiaTheme="minorEastAsia" w:cstheme="minorEastAsia"/>
          <w:color w:val="auto"/>
          <w:sz w:val="28"/>
          <w:szCs w:val="28"/>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b/>
          <w:bCs/>
          <w:color w:val="auto"/>
          <w:sz w:val="28"/>
          <w:szCs w:val="28"/>
          <w:shd w:val="clear" w:color="auto" w:fill="FFFFFF"/>
        </w:rPr>
      </w:pPr>
      <w:r>
        <w:rPr>
          <w:rFonts w:hint="eastAsia" w:asciiTheme="minorEastAsia" w:hAnsiTheme="minorEastAsia" w:cstheme="minorEastAsia"/>
          <w:b/>
          <w:bCs/>
          <w:color w:val="auto"/>
          <w:sz w:val="28"/>
          <w:szCs w:val="28"/>
          <w:shd w:val="clear" w:color="auto" w:fill="FFFFFF"/>
          <w:lang w:eastAsia="zh-CN"/>
        </w:rPr>
        <w:t>（二）</w:t>
      </w:r>
      <w:r>
        <w:rPr>
          <w:rFonts w:hint="eastAsia" w:asciiTheme="minorEastAsia" w:hAnsiTheme="minorEastAsia" w:eastAsiaTheme="minorEastAsia" w:cstheme="minorEastAsia"/>
          <w:b/>
          <w:bCs/>
          <w:color w:val="auto"/>
          <w:sz w:val="28"/>
          <w:szCs w:val="28"/>
          <w:shd w:val="clear" w:color="auto" w:fill="FFFFFF"/>
        </w:rPr>
        <w:t>关于“三公”经费支出说明</w:t>
      </w:r>
    </w:p>
    <w:p>
      <w:pPr>
        <w:widowControl/>
        <w:shd w:val="clear" w:color="auto" w:fill="FFFFFF"/>
        <w:snapToGrid w:val="0"/>
        <w:spacing w:line="560" w:lineRule="atLeast"/>
        <w:ind w:firstLine="562"/>
        <w:jc w:val="left"/>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本年度三公经费中，公务接待费用发生</w:t>
      </w:r>
      <w:r>
        <w:rPr>
          <w:rFonts w:hint="eastAsia" w:asciiTheme="minorEastAsia" w:hAnsiTheme="minorEastAsia" w:cstheme="minorEastAsia"/>
          <w:color w:val="auto"/>
          <w:sz w:val="28"/>
          <w:szCs w:val="28"/>
          <w:shd w:val="clear" w:color="auto" w:fill="FFFFFF"/>
          <w:lang w:val="en-US" w:eastAsia="zh-CN"/>
        </w:rPr>
        <w:t>0</w:t>
      </w:r>
      <w:r>
        <w:rPr>
          <w:rFonts w:hint="eastAsia" w:asciiTheme="minorEastAsia" w:hAnsiTheme="minorEastAsia" w:eastAsiaTheme="minorEastAsia" w:cstheme="minorEastAsia"/>
          <w:color w:val="auto"/>
          <w:sz w:val="28"/>
          <w:szCs w:val="28"/>
          <w:shd w:val="clear" w:color="auto" w:fill="FFFFFF"/>
        </w:rPr>
        <w:t>元。去年同期未发生公务接待费用支出</w:t>
      </w:r>
      <w:r>
        <w:rPr>
          <w:rFonts w:hint="eastAsia" w:asciiTheme="minorEastAsia" w:hAnsiTheme="minorEastAsia" w:cstheme="minorEastAsia"/>
          <w:color w:val="auto"/>
          <w:sz w:val="28"/>
          <w:szCs w:val="28"/>
          <w:shd w:val="clear" w:color="auto" w:fill="FFFFFF"/>
          <w:lang w:eastAsia="zh-CN"/>
        </w:rPr>
        <w:t>；</w:t>
      </w:r>
      <w:r>
        <w:rPr>
          <w:rFonts w:hint="eastAsia" w:asciiTheme="minorEastAsia" w:hAnsiTheme="minorEastAsia" w:eastAsiaTheme="minorEastAsia" w:cstheme="minorEastAsia"/>
          <w:color w:val="auto"/>
          <w:sz w:val="28"/>
          <w:szCs w:val="28"/>
          <w:shd w:val="clear" w:color="auto" w:fill="FFFFFF"/>
        </w:rPr>
        <w:t>本年无出国费用支出，无车辆费用支出。</w:t>
      </w:r>
    </w:p>
    <w:p>
      <w:pPr>
        <w:pStyle w:val="6"/>
        <w:widowControl/>
        <w:spacing w:beforeAutospacing="0" w:afterAutospacing="0"/>
        <w:ind w:firstLine="560"/>
        <w:rPr>
          <w:rFonts w:hint="eastAsia" w:asciiTheme="minorEastAsia" w:hAnsiTheme="minorEastAsia" w:cstheme="minorEastAsia"/>
          <w:b/>
          <w:bCs/>
          <w:color w:val="auto"/>
          <w:sz w:val="28"/>
          <w:szCs w:val="28"/>
          <w:shd w:val="clear" w:color="auto" w:fill="FFFFFF"/>
          <w:lang w:eastAsia="zh-CN"/>
        </w:rPr>
      </w:pPr>
      <w:r>
        <w:rPr>
          <w:rFonts w:hint="eastAsia" w:asciiTheme="minorEastAsia" w:hAnsiTheme="minorEastAsia" w:cstheme="minorEastAsia"/>
          <w:b/>
          <w:bCs/>
          <w:color w:val="auto"/>
          <w:sz w:val="28"/>
          <w:szCs w:val="28"/>
          <w:shd w:val="clear" w:color="auto" w:fill="FFFFFF"/>
          <w:lang w:eastAsia="zh-CN"/>
        </w:rPr>
        <w:t>（三）关于机关运行经费支出说明</w:t>
      </w:r>
    </w:p>
    <w:p>
      <w:pPr>
        <w:pStyle w:val="6"/>
        <w:widowControl/>
        <w:spacing w:beforeAutospacing="0" w:afterAutospacing="0"/>
        <w:ind w:firstLine="560"/>
        <w:rPr>
          <w:rFonts w:hint="eastAsia" w:asciiTheme="minorEastAsia" w:hAnsiTheme="minorEastAsia" w:eastAsiaTheme="minorEastAsia" w:cstheme="minorEastAsia"/>
          <w:color w:val="auto"/>
          <w:sz w:val="28"/>
          <w:szCs w:val="28"/>
          <w:shd w:val="clear" w:color="auto" w:fill="FFFFFF"/>
        </w:rPr>
      </w:pPr>
      <w:r>
        <w:rPr>
          <w:rFonts w:hint="eastAsia" w:asciiTheme="minorEastAsia" w:hAnsiTheme="minorEastAsia" w:eastAsiaTheme="minorEastAsia" w:cstheme="minorEastAsia"/>
          <w:color w:val="auto"/>
          <w:sz w:val="28"/>
          <w:szCs w:val="28"/>
          <w:shd w:val="clear" w:color="auto" w:fill="FFFFFF"/>
        </w:rPr>
        <w:t>20</w:t>
      </w:r>
      <w:r>
        <w:rPr>
          <w:rFonts w:hint="eastAsia" w:asciiTheme="minorEastAsia" w:hAnsiTheme="minorEastAsia" w:cstheme="minorEastAsia"/>
          <w:color w:val="auto"/>
          <w:sz w:val="28"/>
          <w:szCs w:val="28"/>
          <w:shd w:val="clear" w:color="auto" w:fill="FFFFFF"/>
          <w:lang w:val="en-US" w:eastAsia="zh-CN"/>
        </w:rPr>
        <w:t>20</w:t>
      </w:r>
      <w:r>
        <w:rPr>
          <w:rFonts w:hint="eastAsia" w:asciiTheme="minorEastAsia" w:hAnsiTheme="minorEastAsia" w:eastAsiaTheme="minorEastAsia" w:cstheme="minorEastAsia"/>
          <w:color w:val="auto"/>
          <w:sz w:val="28"/>
          <w:szCs w:val="28"/>
          <w:shd w:val="clear" w:color="auto" w:fill="FFFFFF"/>
        </w:rPr>
        <w:t>年度机关运行经费支出</w:t>
      </w:r>
      <w:r>
        <w:rPr>
          <w:rFonts w:hint="eastAsia" w:asciiTheme="minorEastAsia" w:hAnsiTheme="minorEastAsia" w:cstheme="minorEastAsia"/>
          <w:color w:val="auto"/>
          <w:sz w:val="28"/>
          <w:szCs w:val="28"/>
          <w:shd w:val="clear" w:color="auto" w:fill="FFFFFF"/>
          <w:lang w:val="en-US" w:eastAsia="zh-CN"/>
        </w:rPr>
        <w:t>1315.18</w:t>
      </w:r>
      <w:r>
        <w:rPr>
          <w:rFonts w:hint="eastAsia" w:asciiTheme="minorEastAsia" w:hAnsiTheme="minorEastAsia" w:eastAsiaTheme="minorEastAsia" w:cstheme="minorEastAsia"/>
          <w:color w:val="auto"/>
          <w:sz w:val="28"/>
          <w:szCs w:val="28"/>
          <w:shd w:val="clear" w:color="auto" w:fill="FFFFFF"/>
        </w:rPr>
        <w:t>万元</w:t>
      </w:r>
      <w:r>
        <w:rPr>
          <w:rFonts w:hint="eastAsia" w:asciiTheme="minorEastAsia" w:hAnsiTheme="minorEastAsia" w:eastAsiaTheme="minorEastAsia" w:cstheme="minorEastAsia"/>
          <w:color w:val="auto"/>
          <w:sz w:val="28"/>
          <w:szCs w:val="28"/>
          <w:shd w:val="clear" w:color="auto" w:fill="FFFFFF"/>
          <w:lang w:eastAsia="zh-CN"/>
        </w:rPr>
        <w:t>，</w:t>
      </w:r>
      <w:r>
        <w:rPr>
          <w:rFonts w:hint="eastAsia" w:asciiTheme="minorEastAsia" w:hAnsiTheme="minorEastAsia" w:eastAsiaTheme="minorEastAsia" w:cstheme="minorEastAsia"/>
          <w:color w:val="auto"/>
          <w:sz w:val="28"/>
          <w:szCs w:val="28"/>
          <w:shd w:val="clear" w:color="auto" w:fill="FFFFFF"/>
        </w:rPr>
        <w:t>比年初预算数</w:t>
      </w:r>
      <w:r>
        <w:rPr>
          <w:rFonts w:hint="default" w:asciiTheme="minorEastAsia" w:hAnsiTheme="minorEastAsia" w:cstheme="minorEastAsia"/>
          <w:color w:val="auto"/>
          <w:sz w:val="28"/>
          <w:szCs w:val="28"/>
          <w:shd w:val="clear" w:color="auto" w:fill="FFFFFF"/>
          <w:lang w:val="en-US"/>
        </w:rPr>
        <w:t>769.46</w:t>
      </w:r>
      <w:r>
        <w:rPr>
          <w:rFonts w:hint="eastAsia" w:asciiTheme="minorEastAsia" w:hAnsiTheme="minorEastAsia" w:eastAsiaTheme="minorEastAsia" w:cstheme="minorEastAsia"/>
          <w:color w:val="auto"/>
          <w:sz w:val="28"/>
          <w:szCs w:val="28"/>
          <w:shd w:val="clear" w:color="auto" w:fill="FFFFFF"/>
        </w:rPr>
        <w:t>万元，财拔决算比预算多</w:t>
      </w:r>
      <w:r>
        <w:rPr>
          <w:rFonts w:hint="eastAsia" w:asciiTheme="minorEastAsia" w:hAnsiTheme="minorEastAsia" w:cstheme="minorEastAsia"/>
          <w:color w:val="auto"/>
          <w:sz w:val="28"/>
          <w:szCs w:val="28"/>
          <w:shd w:val="clear" w:color="auto" w:fill="FFFFFF"/>
          <w:lang w:val="en-US" w:eastAsia="zh-CN"/>
        </w:rPr>
        <w:t>545.72</w:t>
      </w:r>
      <w:r>
        <w:rPr>
          <w:rFonts w:hint="eastAsia" w:asciiTheme="minorEastAsia" w:hAnsiTheme="minorEastAsia" w:eastAsiaTheme="minorEastAsia" w:cstheme="minorEastAsia"/>
          <w:color w:val="auto"/>
          <w:sz w:val="28"/>
          <w:szCs w:val="28"/>
          <w:shd w:val="clear" w:color="auto" w:fill="FFFFFF"/>
        </w:rPr>
        <w:t>万元。主要原因是：原因为</w:t>
      </w:r>
      <w:r>
        <w:rPr>
          <w:rFonts w:hint="eastAsia" w:asciiTheme="minorEastAsia" w:hAnsiTheme="minorEastAsia" w:cstheme="minorEastAsia"/>
          <w:color w:val="auto"/>
          <w:sz w:val="28"/>
          <w:szCs w:val="28"/>
          <w:shd w:val="clear" w:color="auto" w:fill="FFFFFF"/>
          <w:lang w:val="en-US" w:eastAsia="zh-CN"/>
        </w:rPr>
        <w:t>2020年增补教师绩效</w:t>
      </w:r>
      <w:r>
        <w:rPr>
          <w:rFonts w:hint="eastAsia" w:asciiTheme="minorEastAsia" w:hAnsiTheme="minorEastAsia" w:cstheme="minorEastAsia"/>
          <w:color w:val="auto"/>
          <w:sz w:val="28"/>
          <w:szCs w:val="28"/>
          <w:shd w:val="clear" w:color="auto" w:fill="FFFFFF"/>
          <w:lang w:eastAsia="zh-CN"/>
        </w:rPr>
        <w:t>工资</w:t>
      </w:r>
      <w:r>
        <w:rPr>
          <w:rFonts w:hint="eastAsia" w:asciiTheme="minorEastAsia" w:hAnsiTheme="minorEastAsia" w:eastAsiaTheme="minorEastAsia" w:cstheme="minorEastAsia"/>
          <w:color w:val="auto"/>
          <w:sz w:val="28"/>
          <w:szCs w:val="28"/>
          <w:shd w:val="clear" w:color="auto" w:fill="FFFFFF"/>
        </w:rPr>
        <w:t>资金需求。</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本单位无公车和大型设备。</w:t>
      </w:r>
    </w:p>
    <w:p>
      <w:pPr>
        <w:pStyle w:val="6"/>
        <w:widowControl/>
        <w:numPr>
          <w:ilvl w:val="0"/>
          <w:numId w:val="3"/>
        </w:numPr>
        <w:spacing w:beforeAutospacing="0" w:afterAutospacing="0"/>
        <w:ind w:left="559" w:leftChars="266" w:firstLine="0" w:firstLineChars="0"/>
        <w:jc w:val="left"/>
        <w:rPr>
          <w:rFonts w:ascii="宋体" w:hAnsi="宋体" w:eastAsia="宋体" w:cs="宋体"/>
          <w:sz w:val="28"/>
          <w:szCs w:val="28"/>
        </w:rPr>
      </w:pPr>
      <w:r>
        <w:rPr>
          <w:rFonts w:hint="eastAsia" w:asciiTheme="minorEastAsia" w:hAnsiTheme="minorEastAsia" w:cstheme="minorEastAsia"/>
          <w:b/>
          <w:bCs/>
          <w:sz w:val="28"/>
          <w:szCs w:val="28"/>
          <w:shd w:val="clear" w:color="auto" w:fill="FFFFFF"/>
          <w:lang w:eastAsia="zh-CN"/>
        </w:rPr>
        <w:t>重点绩效评价结果等预算绩效情况说明</w:t>
      </w:r>
      <w:r>
        <w:rPr>
          <w:rFonts w:ascii="宋体" w:hAnsi="宋体" w:eastAsia="宋体" w:cs="宋体"/>
          <w:b/>
          <w:bCs/>
          <w:sz w:val="28"/>
          <w:szCs w:val="28"/>
        </w:rPr>
        <w:br w:type="textWrapping"/>
      </w:r>
      <w:r>
        <w:rPr>
          <w:rFonts w:ascii="宋体" w:hAnsi="宋体" w:eastAsia="宋体" w:cs="宋体"/>
          <w:sz w:val="28"/>
          <w:szCs w:val="28"/>
        </w:rPr>
        <w:t>2020年根据预算绩效管理要求，我</w:t>
      </w:r>
      <w:r>
        <w:rPr>
          <w:rFonts w:hint="eastAsia" w:ascii="宋体" w:hAnsi="宋体" w:eastAsia="宋体" w:cs="宋体"/>
          <w:sz w:val="28"/>
          <w:szCs w:val="28"/>
          <w:lang w:eastAsia="zh-CN"/>
        </w:rPr>
        <w:t>校</w:t>
      </w:r>
      <w:r>
        <w:rPr>
          <w:rFonts w:ascii="宋体" w:hAnsi="宋体" w:eastAsia="宋体" w:cs="宋体"/>
          <w:sz w:val="28"/>
          <w:szCs w:val="28"/>
        </w:rPr>
        <w:t>组织对2020年度一般公共预算项目支出</w:t>
      </w:r>
      <w:r>
        <w:rPr>
          <w:rFonts w:hint="eastAsia" w:ascii="宋体" w:hAnsi="宋体" w:eastAsia="宋体" w:cs="宋体"/>
          <w:sz w:val="28"/>
          <w:szCs w:val="28"/>
          <w:lang w:eastAsia="zh-CN"/>
        </w:rPr>
        <w:t>进行</w:t>
      </w:r>
      <w:r>
        <w:rPr>
          <w:rFonts w:ascii="宋体" w:hAnsi="宋体" w:eastAsia="宋体" w:cs="宋体"/>
          <w:sz w:val="28"/>
          <w:szCs w:val="28"/>
        </w:rPr>
        <w:t>全面绩效自评，重点绩效项目共涉及2个</w:t>
      </w:r>
      <w:r>
        <w:rPr>
          <w:rFonts w:hint="eastAsia" w:ascii="宋体" w:hAnsi="宋体" w:eastAsia="宋体" w:cs="宋体"/>
          <w:sz w:val="28"/>
          <w:szCs w:val="28"/>
          <w:lang w:eastAsia="zh-CN"/>
        </w:rPr>
        <w:t>。一、</w:t>
      </w:r>
      <w:r>
        <w:rPr>
          <w:rFonts w:ascii="宋体" w:hAnsi="宋体" w:eastAsia="宋体" w:cs="宋体"/>
          <w:sz w:val="28"/>
          <w:szCs w:val="28"/>
        </w:rPr>
        <w:t>教育生均公用经费项目，拨入资金</w:t>
      </w:r>
      <w:r>
        <w:rPr>
          <w:rFonts w:hint="eastAsia" w:ascii="宋体" w:hAnsi="宋体" w:eastAsia="宋体" w:cs="宋体"/>
          <w:sz w:val="28"/>
          <w:szCs w:val="28"/>
          <w:lang w:val="en-US" w:eastAsia="zh-CN"/>
        </w:rPr>
        <w:t>76.14</w:t>
      </w:r>
      <w:r>
        <w:rPr>
          <w:rFonts w:ascii="宋体" w:hAnsi="宋体" w:eastAsia="宋体" w:cs="宋体"/>
          <w:sz w:val="28"/>
          <w:szCs w:val="28"/>
        </w:rPr>
        <w:t>万元，实际已支出资金</w:t>
      </w:r>
      <w:r>
        <w:rPr>
          <w:rFonts w:hint="eastAsia" w:ascii="宋体" w:hAnsi="宋体" w:eastAsia="宋体" w:cs="宋体"/>
          <w:sz w:val="28"/>
          <w:szCs w:val="28"/>
          <w:lang w:val="en-US" w:eastAsia="zh-CN"/>
        </w:rPr>
        <w:t>27.51</w:t>
      </w:r>
      <w:r>
        <w:rPr>
          <w:rFonts w:ascii="宋体" w:hAnsi="宋体" w:eastAsia="宋体" w:cs="宋体"/>
          <w:sz w:val="28"/>
          <w:szCs w:val="28"/>
        </w:rPr>
        <w:t>万元，使用率达</w:t>
      </w:r>
      <w:r>
        <w:rPr>
          <w:rFonts w:hint="eastAsia" w:ascii="宋体" w:hAnsi="宋体" w:eastAsia="宋体" w:cs="宋体"/>
          <w:sz w:val="28"/>
          <w:szCs w:val="28"/>
          <w:lang w:val="en-US" w:eastAsia="zh-CN"/>
        </w:rPr>
        <w:t>36</w:t>
      </w:r>
      <w:r>
        <w:rPr>
          <w:rFonts w:ascii="宋体" w:hAnsi="宋体" w:eastAsia="宋体" w:cs="宋体"/>
          <w:sz w:val="28"/>
          <w:szCs w:val="28"/>
        </w:rPr>
        <w:t>%。</w:t>
      </w:r>
      <w:r>
        <w:rPr>
          <w:rFonts w:hint="eastAsia" w:ascii="宋体" w:hAnsi="宋体" w:eastAsia="宋体" w:cs="宋体"/>
          <w:sz w:val="28"/>
          <w:szCs w:val="28"/>
          <w:lang w:eastAsia="zh-CN"/>
        </w:rPr>
        <w:t>二、</w:t>
      </w:r>
      <w:r>
        <w:rPr>
          <w:rFonts w:ascii="宋体" w:hAnsi="宋体" w:eastAsia="宋体" w:cs="宋体"/>
          <w:sz w:val="28"/>
          <w:szCs w:val="28"/>
        </w:rPr>
        <w:t>精准扶贫项目，投入资金0.45万元，实际已支出资金0.45万元，使用率达100%。使用评价结果：项目立项及使用程序完整</w:t>
      </w:r>
      <w:r>
        <w:rPr>
          <w:rFonts w:hint="eastAsia" w:ascii="宋体" w:hAnsi="宋体" w:eastAsia="宋体" w:cs="宋体"/>
          <w:sz w:val="28"/>
          <w:szCs w:val="28"/>
          <w:lang w:eastAsia="zh-CN"/>
        </w:rPr>
        <w:t>、</w:t>
      </w:r>
      <w:r>
        <w:rPr>
          <w:rFonts w:ascii="宋体" w:hAnsi="宋体" w:eastAsia="宋体" w:cs="宋体"/>
          <w:sz w:val="28"/>
          <w:szCs w:val="28"/>
        </w:rPr>
        <w:t>规范，预算执行及时有效，绩效目标得到较好实现，管理水平</w:t>
      </w:r>
      <w:r>
        <w:rPr>
          <w:rFonts w:hint="eastAsia" w:ascii="宋体" w:hAnsi="宋体" w:eastAsia="宋体" w:cs="宋体"/>
          <w:sz w:val="28"/>
          <w:szCs w:val="28"/>
          <w:lang w:eastAsia="zh-CN"/>
        </w:rPr>
        <w:t>有待进一步</w:t>
      </w:r>
      <w:r>
        <w:rPr>
          <w:rFonts w:ascii="宋体" w:hAnsi="宋体" w:eastAsia="宋体" w:cs="宋体"/>
          <w:sz w:val="28"/>
          <w:szCs w:val="28"/>
        </w:rPr>
        <w:t>提高，绩效评价建设进一步完善。</w:t>
      </w:r>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1303.91万</w:t>
      </w:r>
      <w:r>
        <w:rPr>
          <w:rFonts w:hint="eastAsia" w:ascii="宋体" w:hAnsi="宋体"/>
          <w:spacing w:val="2"/>
          <w:sz w:val="28"/>
          <w:szCs w:val="28"/>
        </w:rPr>
        <w:t>元,2020年全年总收入</w:t>
      </w:r>
      <w:r>
        <w:rPr>
          <w:rFonts w:hint="eastAsia" w:ascii="宋体" w:hAnsi="宋体"/>
          <w:spacing w:val="2"/>
          <w:sz w:val="28"/>
          <w:szCs w:val="28"/>
          <w:lang w:val="en-US" w:eastAsia="zh-CN"/>
        </w:rPr>
        <w:t>1315.18万</w:t>
      </w:r>
      <w:r>
        <w:rPr>
          <w:rFonts w:hint="eastAsia" w:ascii="宋体" w:hAnsi="宋体"/>
          <w:spacing w:val="2"/>
          <w:sz w:val="28"/>
          <w:szCs w:val="28"/>
        </w:rPr>
        <w:t>元，同比上年增加</w:t>
      </w:r>
      <w:r>
        <w:rPr>
          <w:rFonts w:hint="eastAsia" w:ascii="宋体" w:hAnsi="宋体"/>
          <w:spacing w:val="2"/>
          <w:sz w:val="28"/>
          <w:szCs w:val="28"/>
          <w:lang w:val="en-US" w:eastAsia="zh-CN"/>
        </w:rPr>
        <w:t>11.27万</w:t>
      </w:r>
      <w:r>
        <w:rPr>
          <w:rFonts w:hint="eastAsia" w:ascii="宋体" w:hAnsi="宋体"/>
          <w:spacing w:val="2"/>
          <w:sz w:val="28"/>
          <w:szCs w:val="28"/>
        </w:rPr>
        <w:t>元，增长幅度为</w:t>
      </w:r>
      <w:r>
        <w:rPr>
          <w:rFonts w:hint="eastAsia" w:ascii="宋体" w:hAnsi="宋体"/>
          <w:spacing w:val="2"/>
          <w:sz w:val="28"/>
          <w:szCs w:val="28"/>
          <w:lang w:val="en-US" w:eastAsia="zh-CN"/>
        </w:rPr>
        <w:t>0.86</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1303.91万</w:t>
      </w:r>
      <w:r>
        <w:rPr>
          <w:rFonts w:hint="eastAsia" w:ascii="宋体" w:hAnsi="宋体"/>
          <w:spacing w:val="2"/>
          <w:sz w:val="28"/>
          <w:szCs w:val="28"/>
        </w:rPr>
        <w:t>元,2020年全年总</w:t>
      </w:r>
      <w:r>
        <w:rPr>
          <w:rFonts w:hint="eastAsia" w:ascii="宋体" w:hAnsi="宋体"/>
          <w:spacing w:val="2"/>
          <w:sz w:val="28"/>
          <w:szCs w:val="28"/>
          <w:lang w:eastAsia="zh-CN"/>
        </w:rPr>
        <w:t>支出</w:t>
      </w:r>
      <w:bookmarkStart w:id="0" w:name="_GoBack"/>
      <w:bookmarkEnd w:id="0"/>
      <w:r>
        <w:rPr>
          <w:rFonts w:hint="eastAsia" w:ascii="宋体" w:hAnsi="宋体"/>
          <w:spacing w:val="2"/>
          <w:sz w:val="28"/>
          <w:szCs w:val="28"/>
          <w:lang w:val="en-US" w:eastAsia="zh-CN"/>
        </w:rPr>
        <w:t>1315.18万</w:t>
      </w:r>
      <w:r>
        <w:rPr>
          <w:rFonts w:hint="eastAsia" w:ascii="宋体" w:hAnsi="宋体"/>
          <w:spacing w:val="2"/>
          <w:sz w:val="28"/>
          <w:szCs w:val="28"/>
        </w:rPr>
        <w:t>元，同比上年增加</w:t>
      </w:r>
      <w:r>
        <w:rPr>
          <w:rFonts w:hint="eastAsia" w:ascii="宋体" w:hAnsi="宋体"/>
          <w:spacing w:val="2"/>
          <w:sz w:val="28"/>
          <w:szCs w:val="28"/>
          <w:lang w:val="en-US" w:eastAsia="zh-CN"/>
        </w:rPr>
        <w:t>11.27万</w:t>
      </w:r>
      <w:r>
        <w:rPr>
          <w:rFonts w:hint="eastAsia" w:ascii="宋体" w:hAnsi="宋体"/>
          <w:spacing w:val="2"/>
          <w:sz w:val="28"/>
          <w:szCs w:val="28"/>
        </w:rPr>
        <w:t>元，增长幅度为</w:t>
      </w:r>
      <w:r>
        <w:rPr>
          <w:rFonts w:hint="eastAsia" w:ascii="宋体" w:hAnsi="宋体"/>
          <w:spacing w:val="2"/>
          <w:sz w:val="28"/>
          <w:szCs w:val="28"/>
          <w:lang w:val="en-US" w:eastAsia="zh-CN"/>
        </w:rPr>
        <w:t>0.86</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pPr>
        <w:pStyle w:val="12"/>
        <w:spacing w:line="540" w:lineRule="exact"/>
        <w:rPr>
          <w:rFonts w:hint="eastAsia" w:ascii="仿宋_GB2312" w:hAnsi="宋体" w:eastAsia="仿宋_GB2312" w:cs="Times New Roman"/>
          <w:lang w:val="en-US" w:eastAsia="zh-CN"/>
        </w:rPr>
      </w:pPr>
    </w:p>
    <w:p>
      <w:pPr>
        <w:pStyle w:val="6"/>
        <w:widowControl/>
        <w:numPr>
          <w:numId w:val="0"/>
        </w:numPr>
        <w:spacing w:beforeAutospacing="0" w:afterAutospacing="0"/>
        <w:ind w:leftChars="266"/>
        <w:jc w:val="left"/>
        <w:rPr>
          <w:rFonts w:hint="eastAsia" w:ascii="宋体" w:hAnsi="宋体" w:eastAsia="宋体" w:cs="宋体"/>
          <w:sz w:val="28"/>
          <w:szCs w:val="28"/>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0905902"/>
    <w:multiLevelType w:val="singleLevel"/>
    <w:tmpl w:val="A0905902"/>
    <w:lvl w:ilvl="0" w:tentative="0">
      <w:start w:val="2"/>
      <w:numFmt w:val="chineseCounting"/>
      <w:suff w:val="nothing"/>
      <w:lvlText w:val="（%1）"/>
      <w:lvlJc w:val="left"/>
      <w:rPr>
        <w:rFonts w:hint="eastAsia"/>
      </w:rPr>
    </w:lvl>
  </w:abstractNum>
  <w:abstractNum w:abstractNumId="2">
    <w:nsid w:val="CE372736"/>
    <w:multiLevelType w:val="singleLevel"/>
    <w:tmpl w:val="CE372736"/>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4B3D0A"/>
    <w:rsid w:val="00812E7F"/>
    <w:rsid w:val="0329503C"/>
    <w:rsid w:val="04534421"/>
    <w:rsid w:val="06307777"/>
    <w:rsid w:val="063B6F48"/>
    <w:rsid w:val="065A6178"/>
    <w:rsid w:val="0AF90B10"/>
    <w:rsid w:val="0BE72997"/>
    <w:rsid w:val="0E7D16D6"/>
    <w:rsid w:val="10E862CD"/>
    <w:rsid w:val="13267FF4"/>
    <w:rsid w:val="13533A50"/>
    <w:rsid w:val="15254FBD"/>
    <w:rsid w:val="17CC781A"/>
    <w:rsid w:val="195902A5"/>
    <w:rsid w:val="197752D7"/>
    <w:rsid w:val="1CE10904"/>
    <w:rsid w:val="1EB64E6E"/>
    <w:rsid w:val="1FB37310"/>
    <w:rsid w:val="20425963"/>
    <w:rsid w:val="20816A63"/>
    <w:rsid w:val="21493FD1"/>
    <w:rsid w:val="2278331B"/>
    <w:rsid w:val="27684156"/>
    <w:rsid w:val="277C1DD4"/>
    <w:rsid w:val="28385A6F"/>
    <w:rsid w:val="2A2B1A3D"/>
    <w:rsid w:val="2A48356C"/>
    <w:rsid w:val="2A6818A2"/>
    <w:rsid w:val="2B8973FB"/>
    <w:rsid w:val="2C2262F5"/>
    <w:rsid w:val="2CF134CA"/>
    <w:rsid w:val="2ED40676"/>
    <w:rsid w:val="2EDA2FEB"/>
    <w:rsid w:val="2F9E4C27"/>
    <w:rsid w:val="30920D9D"/>
    <w:rsid w:val="321A6940"/>
    <w:rsid w:val="326D41CB"/>
    <w:rsid w:val="33DC1E24"/>
    <w:rsid w:val="34FA20CF"/>
    <w:rsid w:val="35687F4F"/>
    <w:rsid w:val="35A91B32"/>
    <w:rsid w:val="36113FC2"/>
    <w:rsid w:val="37333E90"/>
    <w:rsid w:val="3FA47376"/>
    <w:rsid w:val="41C218EF"/>
    <w:rsid w:val="49B123F5"/>
    <w:rsid w:val="4AE97B73"/>
    <w:rsid w:val="4C0B799D"/>
    <w:rsid w:val="4CDE615E"/>
    <w:rsid w:val="4D7C648F"/>
    <w:rsid w:val="4DDC7320"/>
    <w:rsid w:val="520E00D6"/>
    <w:rsid w:val="544E6F61"/>
    <w:rsid w:val="556D5759"/>
    <w:rsid w:val="55A925D9"/>
    <w:rsid w:val="571A201F"/>
    <w:rsid w:val="59335165"/>
    <w:rsid w:val="5A2F6CA9"/>
    <w:rsid w:val="5CF6057B"/>
    <w:rsid w:val="5E3D71AC"/>
    <w:rsid w:val="601766B2"/>
    <w:rsid w:val="60636B31"/>
    <w:rsid w:val="616D02E8"/>
    <w:rsid w:val="620E75EE"/>
    <w:rsid w:val="632905BE"/>
    <w:rsid w:val="64900E0A"/>
    <w:rsid w:val="649C7F93"/>
    <w:rsid w:val="689838CD"/>
    <w:rsid w:val="6CE06280"/>
    <w:rsid w:val="6ED9046A"/>
    <w:rsid w:val="70884955"/>
    <w:rsid w:val="712E50BB"/>
    <w:rsid w:val="71DB1D5C"/>
    <w:rsid w:val="74FF02FF"/>
    <w:rsid w:val="757E759E"/>
    <w:rsid w:val="76F76D0B"/>
    <w:rsid w:val="77AC74E5"/>
    <w:rsid w:val="78FE2D8D"/>
    <w:rsid w:val="798C3073"/>
    <w:rsid w:val="7D497E9A"/>
    <w:rsid w:val="7F502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0</TotalTime>
  <ScaleCrop>false</ScaleCrop>
  <LinksUpToDate>false</LinksUpToDate>
  <CharactersWithSpaces>2790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2021-09-15T02:32:04Z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